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E5607" w14:textId="77777777" w:rsidR="00D77638" w:rsidRDefault="00D77638"/>
    <w:p w14:paraId="2A271014" w14:textId="77777777" w:rsidR="00D77638" w:rsidRDefault="00D77638"/>
    <w:p w14:paraId="37A09852" w14:textId="77777777" w:rsidR="00D77638" w:rsidRDefault="00D77638"/>
    <w:p w14:paraId="27005F74" w14:textId="77777777" w:rsidR="00D77638" w:rsidRPr="00661E54" w:rsidRDefault="00460BAE">
      <w:pPr>
        <w:pStyle w:val="Title"/>
      </w:pPr>
      <w:bookmarkStart w:id="0" w:name="_Toc457908163"/>
      <w:r w:rsidRPr="00661E54">
        <w:t>CRITERIA AND PROCEDURES FOR APPOINTMENTS, EVALUATIONS, AND PROMOTIONS</w:t>
      </w:r>
      <w:bookmarkEnd w:id="0"/>
      <w:r w:rsidRPr="00661E54">
        <w:t xml:space="preserve"> </w:t>
      </w:r>
    </w:p>
    <w:p w14:paraId="545A9A90" w14:textId="77777777" w:rsidR="00D77638" w:rsidRPr="00661E54" w:rsidRDefault="00460BAE">
      <w:pPr>
        <w:pStyle w:val="Title"/>
        <w:rPr>
          <w:b w:val="0"/>
        </w:rPr>
      </w:pPr>
      <w:r w:rsidRPr="00661E54">
        <w:rPr>
          <w:b w:val="0"/>
        </w:rPr>
        <w:t>at the rank of</w:t>
      </w:r>
    </w:p>
    <w:p w14:paraId="32E873B5" w14:textId="2161AA22" w:rsidR="00D77638" w:rsidRPr="00661E54" w:rsidRDefault="00273220">
      <w:pPr>
        <w:pStyle w:val="Title"/>
      </w:pPr>
      <w:bookmarkStart w:id="1" w:name="_Toc457908164"/>
      <w:bookmarkEnd w:id="1"/>
      <w:r>
        <w:t>ASSISTANT PROFESSOR OF INSTRUCTION</w:t>
      </w:r>
      <w:r w:rsidR="007C1BFB">
        <w:t>,</w:t>
      </w:r>
      <w:r w:rsidR="00532C72">
        <w:t xml:space="preserve"> </w:t>
      </w:r>
      <w:r w:rsidR="00FB2004">
        <w:t xml:space="preserve">ASSISTANT </w:t>
      </w:r>
      <w:r w:rsidR="00FB2004" w:rsidRPr="00661E54">
        <w:t>PROFESSOR OF INSTRUCTION</w:t>
      </w:r>
      <w:r w:rsidR="00460BAE" w:rsidRPr="00CD6DBE">
        <w:t>,</w:t>
      </w:r>
      <w:r w:rsidR="00460BAE" w:rsidRPr="00661E54">
        <w:t xml:space="preserve"> ASSOCIATE PROFESSOR OF INSTRUCTION, PROFESSOR OF INSTRUCTION</w:t>
      </w:r>
      <w:r w:rsidR="00821E50">
        <w:t xml:space="preserve">, </w:t>
      </w:r>
      <w:r w:rsidR="00CB0680">
        <w:t xml:space="preserve">ASSISTANT PROFESSOR OF PRACTICE, </w:t>
      </w:r>
      <w:r w:rsidR="00821E50">
        <w:t>ASSOCIATE PROFESSOR OF PRACTICE, OR PROFESSOR OF PRACTICE</w:t>
      </w:r>
    </w:p>
    <w:p w14:paraId="1AABC817" w14:textId="77777777" w:rsidR="00D77638" w:rsidRPr="00661E54" w:rsidRDefault="00460BAE">
      <w:pPr>
        <w:ind w:firstLine="0"/>
        <w:jc w:val="center"/>
      </w:pPr>
      <w:r w:rsidRPr="00661E54">
        <w:t>in</w:t>
      </w:r>
    </w:p>
    <w:p w14:paraId="4B27CBF5" w14:textId="53EDE778" w:rsidR="00D77638" w:rsidRPr="00661E54" w:rsidRDefault="00460BAE">
      <w:pPr>
        <w:pStyle w:val="Title"/>
      </w:pPr>
      <w:bookmarkStart w:id="2" w:name="_Toc457908165"/>
      <w:r w:rsidRPr="00661E54">
        <w:t>THE COLLEGE OF ENGINEERING</w:t>
      </w:r>
      <w:bookmarkEnd w:id="2"/>
    </w:p>
    <w:p w14:paraId="50C85948" w14:textId="77777777" w:rsidR="00D77638" w:rsidRPr="00661E54" w:rsidRDefault="00460BAE">
      <w:pPr>
        <w:pStyle w:val="Title"/>
      </w:pPr>
      <w:bookmarkStart w:id="3" w:name="_Toc457908166"/>
      <w:bookmarkEnd w:id="3"/>
      <w:r w:rsidRPr="00661E54">
        <w:t>UNIVERSITY OF IOWA</w:t>
      </w:r>
    </w:p>
    <w:p w14:paraId="311612D9" w14:textId="77777777" w:rsidR="00D77638" w:rsidRPr="00661E54" w:rsidRDefault="00D77638"/>
    <w:p w14:paraId="36DDD3B1" w14:textId="77777777" w:rsidR="00D77638" w:rsidRPr="00661E54" w:rsidRDefault="00D77638"/>
    <w:p w14:paraId="4AA80280" w14:textId="26519156" w:rsidR="000D6B16" w:rsidRDefault="00EA350A" w:rsidP="000D6B16">
      <w:pPr>
        <w:pStyle w:val="Title"/>
      </w:pPr>
      <w:r>
        <w:t>Apri</w:t>
      </w:r>
      <w:r w:rsidR="00CE1299">
        <w:t xml:space="preserve">l </w:t>
      </w:r>
      <w:r w:rsidR="00045B33">
        <w:t>24</w:t>
      </w:r>
      <w:r w:rsidR="00CE1299">
        <w:t>, 2017</w:t>
      </w:r>
    </w:p>
    <w:p w14:paraId="75F43372" w14:textId="77777777" w:rsidR="006B0CE2" w:rsidRDefault="00420713" w:rsidP="00420713">
      <w:pPr>
        <w:ind w:firstLine="0"/>
        <w:jc w:val="center"/>
        <w:rPr>
          <w:b/>
        </w:rPr>
      </w:pPr>
      <w:r w:rsidRPr="00420713">
        <w:rPr>
          <w:b/>
        </w:rPr>
        <w:t>Revised May 6, 2019</w:t>
      </w:r>
    </w:p>
    <w:p w14:paraId="2535FBBF" w14:textId="77777777" w:rsidR="00EE7CBC" w:rsidRDefault="006B0CE2" w:rsidP="00420713">
      <w:pPr>
        <w:ind w:firstLine="0"/>
        <w:jc w:val="center"/>
        <w:rPr>
          <w:b/>
        </w:rPr>
      </w:pPr>
      <w:r>
        <w:rPr>
          <w:b/>
        </w:rPr>
        <w:t>Revised May 14, 2020</w:t>
      </w:r>
    </w:p>
    <w:p w14:paraId="7FB3C7AB" w14:textId="416C327F" w:rsidR="00D77638" w:rsidRPr="00420713" w:rsidRDefault="00634BB0" w:rsidP="00420713">
      <w:pPr>
        <w:ind w:firstLine="0"/>
        <w:jc w:val="center"/>
        <w:rPr>
          <w:b/>
        </w:rPr>
      </w:pPr>
      <w:r>
        <w:rPr>
          <w:b/>
        </w:rPr>
        <w:t>Revised</w:t>
      </w:r>
      <w:r w:rsidR="00A05E57">
        <w:rPr>
          <w:b/>
        </w:rPr>
        <w:t xml:space="preserve"> </w:t>
      </w:r>
      <w:r w:rsidR="00452FE9">
        <w:rPr>
          <w:b/>
        </w:rPr>
        <w:t xml:space="preserve">April </w:t>
      </w:r>
      <w:r w:rsidR="008B35E9">
        <w:rPr>
          <w:b/>
        </w:rPr>
        <w:t>23</w:t>
      </w:r>
      <w:r w:rsidR="006830D2">
        <w:rPr>
          <w:b/>
        </w:rPr>
        <w:t>,</w:t>
      </w:r>
      <w:r w:rsidR="00A05E57">
        <w:rPr>
          <w:b/>
        </w:rPr>
        <w:t xml:space="preserve"> </w:t>
      </w:r>
      <w:proofErr w:type="gramStart"/>
      <w:r w:rsidR="00A05E57">
        <w:rPr>
          <w:b/>
        </w:rPr>
        <w:t>202</w:t>
      </w:r>
      <w:r w:rsidR="00A42E1C">
        <w:rPr>
          <w:b/>
        </w:rPr>
        <w:t>4</w:t>
      </w:r>
      <w:proofErr w:type="gramEnd"/>
      <w:r>
        <w:rPr>
          <w:b/>
        </w:rPr>
        <w:t xml:space="preserve"> </w:t>
      </w:r>
      <w:r w:rsidR="00460BAE" w:rsidRPr="00420713">
        <w:rPr>
          <w:b/>
        </w:rPr>
        <w:br w:type="page"/>
      </w:r>
    </w:p>
    <w:bookmarkStart w:id="4" w:name="_Toc158832128" w:displacedByCustomXml="next"/>
    <w:sdt>
      <w:sdtPr>
        <w:rPr>
          <w:rFonts w:eastAsiaTheme="minorHAnsi" w:cstheme="minorBidi"/>
          <w:b w:val="0"/>
          <w:caps w:val="0"/>
        </w:rPr>
        <w:id w:val="1939961925"/>
        <w:docPartObj>
          <w:docPartGallery w:val="Table of Contents"/>
          <w:docPartUnique/>
        </w:docPartObj>
      </w:sdtPr>
      <w:sdtEndPr/>
      <w:sdtContent>
        <w:p w14:paraId="2EFFE854" w14:textId="77777777" w:rsidR="00D77638" w:rsidRPr="00661E54" w:rsidRDefault="00460BAE">
          <w:pPr>
            <w:pStyle w:val="TOCHeading"/>
          </w:pPr>
          <w:r w:rsidRPr="00661E54">
            <w:t>TABLE OF CONTENTS</w:t>
          </w:r>
          <w:bookmarkEnd w:id="4"/>
        </w:p>
        <w:p w14:paraId="6106803D" w14:textId="1C400558" w:rsidR="00896556" w:rsidRDefault="00460BAE" w:rsidP="00896556">
          <w:pPr>
            <w:pStyle w:val="TOC1"/>
            <w:rPr>
              <w:rFonts w:eastAsiaTheme="minorEastAsia"/>
              <w:noProof/>
              <w:color w:val="auto"/>
              <w:kern w:val="2"/>
              <w:sz w:val="22"/>
              <w:szCs w:val="22"/>
              <w14:ligatures w14:val="standardContextual"/>
            </w:rPr>
          </w:pPr>
          <w:r w:rsidRPr="00661E54">
            <w:fldChar w:fldCharType="begin"/>
          </w:r>
          <w:r w:rsidRPr="00661E54">
            <w:instrText>TOC \z \o "1-2" \u \h</w:instrText>
          </w:r>
          <w:r w:rsidRPr="00661E54">
            <w:fldChar w:fldCharType="separate"/>
          </w:r>
          <w:hyperlink w:anchor="_Toc158832128" w:history="1">
            <w:r w:rsidR="00896556" w:rsidRPr="00B04E57">
              <w:rPr>
                <w:rStyle w:val="Hyperlink"/>
                <w:noProof/>
              </w:rPr>
              <w:t>TABLE OF CONTENTS</w:t>
            </w:r>
            <w:r w:rsidR="00896556">
              <w:rPr>
                <w:noProof/>
                <w:webHidden/>
              </w:rPr>
              <w:tab/>
            </w:r>
            <w:r w:rsidR="00896556">
              <w:rPr>
                <w:noProof/>
                <w:webHidden/>
              </w:rPr>
              <w:fldChar w:fldCharType="begin"/>
            </w:r>
            <w:r w:rsidR="00896556">
              <w:rPr>
                <w:noProof/>
                <w:webHidden/>
              </w:rPr>
              <w:instrText xml:space="preserve"> PAGEREF _Toc158832128 \h </w:instrText>
            </w:r>
            <w:r w:rsidR="00896556">
              <w:rPr>
                <w:noProof/>
                <w:webHidden/>
              </w:rPr>
            </w:r>
            <w:r w:rsidR="00896556">
              <w:rPr>
                <w:noProof/>
                <w:webHidden/>
              </w:rPr>
              <w:fldChar w:fldCharType="separate"/>
            </w:r>
            <w:r w:rsidR="00896556">
              <w:rPr>
                <w:noProof/>
                <w:webHidden/>
              </w:rPr>
              <w:t>2</w:t>
            </w:r>
            <w:r w:rsidR="00896556">
              <w:rPr>
                <w:noProof/>
                <w:webHidden/>
              </w:rPr>
              <w:fldChar w:fldCharType="end"/>
            </w:r>
          </w:hyperlink>
        </w:p>
        <w:p w14:paraId="5172948D" w14:textId="7BFABF3E" w:rsidR="00896556" w:rsidRDefault="00B43938" w:rsidP="00896556">
          <w:pPr>
            <w:pStyle w:val="TOC1"/>
            <w:rPr>
              <w:rFonts w:eastAsiaTheme="minorEastAsia"/>
              <w:noProof/>
              <w:color w:val="auto"/>
              <w:kern w:val="2"/>
              <w:sz w:val="22"/>
              <w:szCs w:val="22"/>
              <w14:ligatures w14:val="standardContextual"/>
            </w:rPr>
          </w:pPr>
          <w:hyperlink w:anchor="_Toc158832129" w:history="1">
            <w:r w:rsidR="00896556" w:rsidRPr="00B04E57">
              <w:rPr>
                <w:rStyle w:val="Hyperlink"/>
                <w:noProof/>
              </w:rPr>
              <w:t>I.</w:t>
            </w:r>
            <w:r w:rsidR="00896556">
              <w:rPr>
                <w:rFonts w:eastAsiaTheme="minorEastAsia"/>
                <w:noProof/>
                <w:color w:val="auto"/>
                <w:kern w:val="2"/>
                <w:sz w:val="22"/>
                <w:szCs w:val="22"/>
                <w14:ligatures w14:val="standardContextual"/>
              </w:rPr>
              <w:tab/>
            </w:r>
            <w:r w:rsidR="00896556" w:rsidRPr="00B04E57">
              <w:rPr>
                <w:rStyle w:val="Hyperlink"/>
                <w:noProof/>
              </w:rPr>
              <w:t>Introduction</w:t>
            </w:r>
            <w:r w:rsidR="00896556">
              <w:rPr>
                <w:noProof/>
                <w:webHidden/>
              </w:rPr>
              <w:tab/>
            </w:r>
            <w:r w:rsidR="00896556">
              <w:rPr>
                <w:noProof/>
                <w:webHidden/>
              </w:rPr>
              <w:fldChar w:fldCharType="begin"/>
            </w:r>
            <w:r w:rsidR="00896556">
              <w:rPr>
                <w:noProof/>
                <w:webHidden/>
              </w:rPr>
              <w:instrText xml:space="preserve"> PAGEREF _Toc158832129 \h </w:instrText>
            </w:r>
            <w:r w:rsidR="00896556">
              <w:rPr>
                <w:noProof/>
                <w:webHidden/>
              </w:rPr>
            </w:r>
            <w:r w:rsidR="00896556">
              <w:rPr>
                <w:noProof/>
                <w:webHidden/>
              </w:rPr>
              <w:fldChar w:fldCharType="separate"/>
            </w:r>
            <w:r w:rsidR="00896556">
              <w:rPr>
                <w:noProof/>
                <w:webHidden/>
              </w:rPr>
              <w:t>3</w:t>
            </w:r>
            <w:r w:rsidR="00896556">
              <w:rPr>
                <w:noProof/>
                <w:webHidden/>
              </w:rPr>
              <w:fldChar w:fldCharType="end"/>
            </w:r>
          </w:hyperlink>
        </w:p>
        <w:p w14:paraId="33B9D0BF" w14:textId="36AB0691" w:rsidR="00896556" w:rsidRDefault="00B43938" w:rsidP="00896556">
          <w:pPr>
            <w:pStyle w:val="TOC1"/>
            <w:rPr>
              <w:rFonts w:eastAsiaTheme="minorEastAsia"/>
              <w:noProof/>
              <w:color w:val="auto"/>
              <w:kern w:val="2"/>
              <w:sz w:val="22"/>
              <w:szCs w:val="22"/>
              <w14:ligatures w14:val="standardContextual"/>
            </w:rPr>
          </w:pPr>
          <w:hyperlink w:anchor="_Toc158832130" w:history="1">
            <w:r w:rsidR="00896556" w:rsidRPr="00B04E57">
              <w:rPr>
                <w:rStyle w:val="Hyperlink"/>
                <w:noProof/>
              </w:rPr>
              <w:t>II.</w:t>
            </w:r>
            <w:r w:rsidR="00896556">
              <w:rPr>
                <w:rFonts w:eastAsiaTheme="minorEastAsia"/>
                <w:noProof/>
                <w:color w:val="auto"/>
                <w:kern w:val="2"/>
                <w:sz w:val="22"/>
                <w:szCs w:val="22"/>
                <w14:ligatures w14:val="standardContextual"/>
              </w:rPr>
              <w:tab/>
            </w:r>
            <w:r w:rsidR="00896556" w:rsidRPr="00B04E57">
              <w:rPr>
                <w:rStyle w:val="Hyperlink"/>
                <w:noProof/>
              </w:rPr>
              <w:t>Criteria for appointment at or promotion to specific academic ranks</w:t>
            </w:r>
            <w:r w:rsidR="00896556">
              <w:rPr>
                <w:noProof/>
                <w:webHidden/>
              </w:rPr>
              <w:tab/>
            </w:r>
            <w:r w:rsidR="00896556">
              <w:rPr>
                <w:noProof/>
                <w:webHidden/>
              </w:rPr>
              <w:fldChar w:fldCharType="begin"/>
            </w:r>
            <w:r w:rsidR="00896556">
              <w:rPr>
                <w:noProof/>
                <w:webHidden/>
              </w:rPr>
              <w:instrText xml:space="preserve"> PAGEREF _Toc158832130 \h </w:instrText>
            </w:r>
            <w:r w:rsidR="00896556">
              <w:rPr>
                <w:noProof/>
                <w:webHidden/>
              </w:rPr>
            </w:r>
            <w:r w:rsidR="00896556">
              <w:rPr>
                <w:noProof/>
                <w:webHidden/>
              </w:rPr>
              <w:fldChar w:fldCharType="separate"/>
            </w:r>
            <w:r w:rsidR="00896556">
              <w:rPr>
                <w:noProof/>
                <w:webHidden/>
              </w:rPr>
              <w:t>4</w:t>
            </w:r>
            <w:r w:rsidR="00896556">
              <w:rPr>
                <w:noProof/>
                <w:webHidden/>
              </w:rPr>
              <w:fldChar w:fldCharType="end"/>
            </w:r>
          </w:hyperlink>
        </w:p>
        <w:p w14:paraId="7A89FBF6" w14:textId="3F9253D4" w:rsidR="00896556" w:rsidRDefault="00B43938" w:rsidP="00896556">
          <w:pPr>
            <w:pStyle w:val="TOC2"/>
            <w:rPr>
              <w:rFonts w:eastAsiaTheme="minorEastAsia"/>
              <w:noProof/>
              <w:color w:val="auto"/>
              <w:kern w:val="2"/>
              <w:sz w:val="22"/>
              <w:szCs w:val="22"/>
              <w14:ligatures w14:val="standardContextual"/>
            </w:rPr>
          </w:pPr>
          <w:hyperlink w:anchor="_Toc158832131" w:history="1">
            <w:r w:rsidR="00896556" w:rsidRPr="00B04E57">
              <w:rPr>
                <w:rStyle w:val="Hyperlink"/>
                <w:noProof/>
              </w:rPr>
              <w:t>A.</w:t>
            </w:r>
            <w:r w:rsidR="00896556">
              <w:rPr>
                <w:rFonts w:eastAsiaTheme="minorEastAsia"/>
                <w:noProof/>
                <w:color w:val="auto"/>
                <w:kern w:val="2"/>
                <w:sz w:val="22"/>
                <w:szCs w:val="22"/>
                <w14:ligatures w14:val="standardContextual"/>
              </w:rPr>
              <w:tab/>
            </w:r>
            <w:r w:rsidR="00896556" w:rsidRPr="00B04E57">
              <w:rPr>
                <w:rStyle w:val="Hyperlink"/>
                <w:noProof/>
              </w:rPr>
              <w:t>Assistant Professor of Instruction</w:t>
            </w:r>
            <w:r w:rsidR="00896556">
              <w:rPr>
                <w:noProof/>
                <w:webHidden/>
              </w:rPr>
              <w:tab/>
            </w:r>
            <w:r w:rsidR="00896556">
              <w:rPr>
                <w:noProof/>
                <w:webHidden/>
              </w:rPr>
              <w:fldChar w:fldCharType="begin"/>
            </w:r>
            <w:r w:rsidR="00896556">
              <w:rPr>
                <w:noProof/>
                <w:webHidden/>
              </w:rPr>
              <w:instrText xml:space="preserve"> PAGEREF _Toc158832131 \h </w:instrText>
            </w:r>
            <w:r w:rsidR="00896556">
              <w:rPr>
                <w:noProof/>
                <w:webHidden/>
              </w:rPr>
            </w:r>
            <w:r w:rsidR="00896556">
              <w:rPr>
                <w:noProof/>
                <w:webHidden/>
              </w:rPr>
              <w:fldChar w:fldCharType="separate"/>
            </w:r>
            <w:r w:rsidR="00896556">
              <w:rPr>
                <w:noProof/>
                <w:webHidden/>
              </w:rPr>
              <w:t>4</w:t>
            </w:r>
            <w:r w:rsidR="00896556">
              <w:rPr>
                <w:noProof/>
                <w:webHidden/>
              </w:rPr>
              <w:fldChar w:fldCharType="end"/>
            </w:r>
          </w:hyperlink>
        </w:p>
        <w:p w14:paraId="1A93FEA3" w14:textId="767D25B0" w:rsidR="00896556" w:rsidRDefault="00B43938" w:rsidP="00896556">
          <w:pPr>
            <w:pStyle w:val="TOC2"/>
            <w:rPr>
              <w:rFonts w:eastAsiaTheme="minorEastAsia"/>
              <w:noProof/>
              <w:color w:val="auto"/>
              <w:kern w:val="2"/>
              <w:sz w:val="22"/>
              <w:szCs w:val="22"/>
              <w14:ligatures w14:val="standardContextual"/>
            </w:rPr>
          </w:pPr>
          <w:hyperlink w:anchor="_Toc158832132" w:history="1">
            <w:r w:rsidR="00896556" w:rsidRPr="00B04E57">
              <w:rPr>
                <w:rStyle w:val="Hyperlink"/>
                <w:noProof/>
              </w:rPr>
              <w:t>B.</w:t>
            </w:r>
            <w:r w:rsidR="00896556">
              <w:rPr>
                <w:rFonts w:eastAsiaTheme="minorEastAsia"/>
                <w:noProof/>
                <w:color w:val="auto"/>
                <w:kern w:val="2"/>
                <w:sz w:val="22"/>
                <w:szCs w:val="22"/>
                <w14:ligatures w14:val="standardContextual"/>
              </w:rPr>
              <w:tab/>
            </w:r>
            <w:r w:rsidR="00896556" w:rsidRPr="00B04E57">
              <w:rPr>
                <w:rStyle w:val="Hyperlink"/>
                <w:noProof/>
              </w:rPr>
              <w:t>Associate Professor of Instruction</w:t>
            </w:r>
            <w:r w:rsidR="00896556">
              <w:rPr>
                <w:noProof/>
                <w:webHidden/>
              </w:rPr>
              <w:tab/>
            </w:r>
            <w:r w:rsidR="00896556">
              <w:rPr>
                <w:noProof/>
                <w:webHidden/>
              </w:rPr>
              <w:fldChar w:fldCharType="begin"/>
            </w:r>
            <w:r w:rsidR="00896556">
              <w:rPr>
                <w:noProof/>
                <w:webHidden/>
              </w:rPr>
              <w:instrText xml:space="preserve"> PAGEREF _Toc158832132 \h </w:instrText>
            </w:r>
            <w:r w:rsidR="00896556">
              <w:rPr>
                <w:noProof/>
                <w:webHidden/>
              </w:rPr>
            </w:r>
            <w:r w:rsidR="00896556">
              <w:rPr>
                <w:noProof/>
                <w:webHidden/>
              </w:rPr>
              <w:fldChar w:fldCharType="separate"/>
            </w:r>
            <w:r w:rsidR="00896556">
              <w:rPr>
                <w:noProof/>
                <w:webHidden/>
              </w:rPr>
              <w:t>4</w:t>
            </w:r>
            <w:r w:rsidR="00896556">
              <w:rPr>
                <w:noProof/>
                <w:webHidden/>
              </w:rPr>
              <w:fldChar w:fldCharType="end"/>
            </w:r>
          </w:hyperlink>
        </w:p>
        <w:p w14:paraId="3A9C66D7" w14:textId="5547C573" w:rsidR="00896556" w:rsidRDefault="00B43938" w:rsidP="00896556">
          <w:pPr>
            <w:pStyle w:val="TOC2"/>
            <w:rPr>
              <w:rFonts w:eastAsiaTheme="minorEastAsia"/>
              <w:noProof/>
              <w:color w:val="auto"/>
              <w:kern w:val="2"/>
              <w:sz w:val="22"/>
              <w:szCs w:val="22"/>
              <w14:ligatures w14:val="standardContextual"/>
            </w:rPr>
          </w:pPr>
          <w:hyperlink w:anchor="_Toc158832133" w:history="1">
            <w:r w:rsidR="00896556" w:rsidRPr="00B04E57">
              <w:rPr>
                <w:rStyle w:val="Hyperlink"/>
                <w:noProof/>
              </w:rPr>
              <w:t>C.</w:t>
            </w:r>
            <w:r w:rsidR="00896556">
              <w:rPr>
                <w:rFonts w:eastAsiaTheme="minorEastAsia"/>
                <w:noProof/>
                <w:color w:val="auto"/>
                <w:kern w:val="2"/>
                <w:sz w:val="22"/>
                <w:szCs w:val="22"/>
                <w14:ligatures w14:val="standardContextual"/>
              </w:rPr>
              <w:tab/>
            </w:r>
            <w:r w:rsidR="00896556" w:rsidRPr="00B04E57">
              <w:rPr>
                <w:rStyle w:val="Hyperlink"/>
                <w:noProof/>
              </w:rPr>
              <w:t>Professor of Instruction</w:t>
            </w:r>
            <w:r w:rsidR="00896556">
              <w:rPr>
                <w:noProof/>
                <w:webHidden/>
              </w:rPr>
              <w:tab/>
            </w:r>
            <w:r w:rsidR="00896556">
              <w:rPr>
                <w:noProof/>
                <w:webHidden/>
              </w:rPr>
              <w:fldChar w:fldCharType="begin"/>
            </w:r>
            <w:r w:rsidR="00896556">
              <w:rPr>
                <w:noProof/>
                <w:webHidden/>
              </w:rPr>
              <w:instrText xml:space="preserve"> PAGEREF _Toc158832133 \h </w:instrText>
            </w:r>
            <w:r w:rsidR="00896556">
              <w:rPr>
                <w:noProof/>
                <w:webHidden/>
              </w:rPr>
            </w:r>
            <w:r w:rsidR="00896556">
              <w:rPr>
                <w:noProof/>
                <w:webHidden/>
              </w:rPr>
              <w:fldChar w:fldCharType="separate"/>
            </w:r>
            <w:r w:rsidR="00896556">
              <w:rPr>
                <w:noProof/>
                <w:webHidden/>
              </w:rPr>
              <w:t>5</w:t>
            </w:r>
            <w:r w:rsidR="00896556">
              <w:rPr>
                <w:noProof/>
                <w:webHidden/>
              </w:rPr>
              <w:fldChar w:fldCharType="end"/>
            </w:r>
          </w:hyperlink>
        </w:p>
        <w:p w14:paraId="1D2225B7" w14:textId="598D6679" w:rsidR="00896556" w:rsidRDefault="00B43938" w:rsidP="00896556">
          <w:pPr>
            <w:pStyle w:val="TOC2"/>
            <w:rPr>
              <w:rFonts w:eastAsiaTheme="minorEastAsia"/>
              <w:noProof/>
              <w:color w:val="auto"/>
              <w:kern w:val="2"/>
              <w:sz w:val="22"/>
              <w:szCs w:val="22"/>
              <w14:ligatures w14:val="standardContextual"/>
            </w:rPr>
          </w:pPr>
          <w:hyperlink w:anchor="_Toc158832134" w:history="1">
            <w:r w:rsidR="00896556" w:rsidRPr="00B04E57">
              <w:rPr>
                <w:rStyle w:val="Hyperlink"/>
                <w:noProof/>
              </w:rPr>
              <w:t>D.</w:t>
            </w:r>
            <w:r w:rsidR="00896556">
              <w:rPr>
                <w:rFonts w:eastAsiaTheme="minorEastAsia"/>
                <w:noProof/>
                <w:color w:val="auto"/>
                <w:kern w:val="2"/>
                <w:sz w:val="22"/>
                <w:szCs w:val="22"/>
                <w14:ligatures w14:val="standardContextual"/>
              </w:rPr>
              <w:tab/>
            </w:r>
            <w:r w:rsidR="00896556" w:rsidRPr="00B04E57">
              <w:rPr>
                <w:rStyle w:val="Hyperlink"/>
                <w:noProof/>
              </w:rPr>
              <w:t>Assistant Professor of Practice</w:t>
            </w:r>
            <w:r w:rsidR="00896556">
              <w:rPr>
                <w:noProof/>
                <w:webHidden/>
              </w:rPr>
              <w:tab/>
            </w:r>
            <w:r w:rsidR="00896556">
              <w:rPr>
                <w:noProof/>
                <w:webHidden/>
              </w:rPr>
              <w:fldChar w:fldCharType="begin"/>
            </w:r>
            <w:r w:rsidR="00896556">
              <w:rPr>
                <w:noProof/>
                <w:webHidden/>
              </w:rPr>
              <w:instrText xml:space="preserve"> PAGEREF _Toc158832134 \h </w:instrText>
            </w:r>
            <w:r w:rsidR="00896556">
              <w:rPr>
                <w:noProof/>
                <w:webHidden/>
              </w:rPr>
            </w:r>
            <w:r w:rsidR="00896556">
              <w:rPr>
                <w:noProof/>
                <w:webHidden/>
              </w:rPr>
              <w:fldChar w:fldCharType="separate"/>
            </w:r>
            <w:r w:rsidR="00896556">
              <w:rPr>
                <w:noProof/>
                <w:webHidden/>
              </w:rPr>
              <w:t>5</w:t>
            </w:r>
            <w:r w:rsidR="00896556">
              <w:rPr>
                <w:noProof/>
                <w:webHidden/>
              </w:rPr>
              <w:fldChar w:fldCharType="end"/>
            </w:r>
          </w:hyperlink>
        </w:p>
        <w:p w14:paraId="420DAEA1" w14:textId="5FEFE707" w:rsidR="00896556" w:rsidRDefault="00B43938" w:rsidP="00896556">
          <w:pPr>
            <w:pStyle w:val="TOC2"/>
            <w:rPr>
              <w:rFonts w:eastAsiaTheme="minorEastAsia"/>
              <w:noProof/>
              <w:color w:val="auto"/>
              <w:kern w:val="2"/>
              <w:sz w:val="22"/>
              <w:szCs w:val="22"/>
              <w14:ligatures w14:val="standardContextual"/>
            </w:rPr>
          </w:pPr>
          <w:hyperlink w:anchor="_Toc158832135" w:history="1">
            <w:r w:rsidR="00896556" w:rsidRPr="00B04E57">
              <w:rPr>
                <w:rStyle w:val="Hyperlink"/>
                <w:noProof/>
              </w:rPr>
              <w:t>E.</w:t>
            </w:r>
            <w:r w:rsidR="00896556">
              <w:rPr>
                <w:rFonts w:eastAsiaTheme="minorEastAsia"/>
                <w:noProof/>
                <w:color w:val="auto"/>
                <w:kern w:val="2"/>
                <w:sz w:val="22"/>
                <w:szCs w:val="22"/>
                <w14:ligatures w14:val="standardContextual"/>
              </w:rPr>
              <w:tab/>
            </w:r>
            <w:r w:rsidR="00896556" w:rsidRPr="00B04E57">
              <w:rPr>
                <w:rStyle w:val="Hyperlink"/>
                <w:noProof/>
              </w:rPr>
              <w:t>Associate Professor of Practice</w:t>
            </w:r>
            <w:r w:rsidR="00896556">
              <w:rPr>
                <w:noProof/>
                <w:webHidden/>
              </w:rPr>
              <w:tab/>
            </w:r>
            <w:r w:rsidR="00896556">
              <w:rPr>
                <w:noProof/>
                <w:webHidden/>
              </w:rPr>
              <w:fldChar w:fldCharType="begin"/>
            </w:r>
            <w:r w:rsidR="00896556">
              <w:rPr>
                <w:noProof/>
                <w:webHidden/>
              </w:rPr>
              <w:instrText xml:space="preserve"> PAGEREF _Toc158832135 \h </w:instrText>
            </w:r>
            <w:r w:rsidR="00896556">
              <w:rPr>
                <w:noProof/>
                <w:webHidden/>
              </w:rPr>
            </w:r>
            <w:r w:rsidR="00896556">
              <w:rPr>
                <w:noProof/>
                <w:webHidden/>
              </w:rPr>
              <w:fldChar w:fldCharType="separate"/>
            </w:r>
            <w:r w:rsidR="00896556">
              <w:rPr>
                <w:noProof/>
                <w:webHidden/>
              </w:rPr>
              <w:t>6</w:t>
            </w:r>
            <w:r w:rsidR="00896556">
              <w:rPr>
                <w:noProof/>
                <w:webHidden/>
              </w:rPr>
              <w:fldChar w:fldCharType="end"/>
            </w:r>
          </w:hyperlink>
        </w:p>
        <w:p w14:paraId="21F12577" w14:textId="48EB9182" w:rsidR="00896556" w:rsidRDefault="00B43938" w:rsidP="00896556">
          <w:pPr>
            <w:pStyle w:val="TOC2"/>
            <w:rPr>
              <w:rFonts w:eastAsiaTheme="minorEastAsia"/>
              <w:noProof/>
              <w:color w:val="auto"/>
              <w:kern w:val="2"/>
              <w:sz w:val="22"/>
              <w:szCs w:val="22"/>
              <w14:ligatures w14:val="standardContextual"/>
            </w:rPr>
          </w:pPr>
          <w:hyperlink w:anchor="_Toc158832136" w:history="1">
            <w:r w:rsidR="00896556" w:rsidRPr="00B04E57">
              <w:rPr>
                <w:rStyle w:val="Hyperlink"/>
                <w:noProof/>
              </w:rPr>
              <w:t>F.</w:t>
            </w:r>
            <w:r w:rsidR="00896556">
              <w:rPr>
                <w:rFonts w:eastAsiaTheme="minorEastAsia"/>
                <w:noProof/>
                <w:color w:val="auto"/>
                <w:kern w:val="2"/>
                <w:sz w:val="22"/>
                <w:szCs w:val="22"/>
                <w14:ligatures w14:val="standardContextual"/>
              </w:rPr>
              <w:tab/>
            </w:r>
            <w:r w:rsidR="00896556" w:rsidRPr="00B04E57">
              <w:rPr>
                <w:rStyle w:val="Hyperlink"/>
                <w:noProof/>
              </w:rPr>
              <w:t>Professor of Practice</w:t>
            </w:r>
            <w:r w:rsidR="00896556">
              <w:rPr>
                <w:noProof/>
                <w:webHidden/>
              </w:rPr>
              <w:tab/>
            </w:r>
            <w:r w:rsidR="00896556">
              <w:rPr>
                <w:noProof/>
                <w:webHidden/>
              </w:rPr>
              <w:fldChar w:fldCharType="begin"/>
            </w:r>
            <w:r w:rsidR="00896556">
              <w:rPr>
                <w:noProof/>
                <w:webHidden/>
              </w:rPr>
              <w:instrText xml:space="preserve"> PAGEREF _Toc158832136 \h </w:instrText>
            </w:r>
            <w:r w:rsidR="00896556">
              <w:rPr>
                <w:noProof/>
                <w:webHidden/>
              </w:rPr>
            </w:r>
            <w:r w:rsidR="00896556">
              <w:rPr>
                <w:noProof/>
                <w:webHidden/>
              </w:rPr>
              <w:fldChar w:fldCharType="separate"/>
            </w:r>
            <w:r w:rsidR="00896556">
              <w:rPr>
                <w:noProof/>
                <w:webHidden/>
              </w:rPr>
              <w:t>6</w:t>
            </w:r>
            <w:r w:rsidR="00896556">
              <w:rPr>
                <w:noProof/>
                <w:webHidden/>
              </w:rPr>
              <w:fldChar w:fldCharType="end"/>
            </w:r>
          </w:hyperlink>
        </w:p>
        <w:p w14:paraId="3B370AF1" w14:textId="1A8E0D73" w:rsidR="00896556" w:rsidRDefault="00B43938" w:rsidP="00896556">
          <w:pPr>
            <w:pStyle w:val="TOC1"/>
            <w:rPr>
              <w:rFonts w:eastAsiaTheme="minorEastAsia"/>
              <w:noProof/>
              <w:color w:val="auto"/>
              <w:kern w:val="2"/>
              <w:sz w:val="22"/>
              <w:szCs w:val="22"/>
              <w14:ligatures w14:val="standardContextual"/>
            </w:rPr>
          </w:pPr>
          <w:hyperlink w:anchor="_Toc158832137" w:history="1">
            <w:r w:rsidR="00896556" w:rsidRPr="00B04E57">
              <w:rPr>
                <w:rStyle w:val="Hyperlink"/>
                <w:noProof/>
              </w:rPr>
              <w:t>III.</w:t>
            </w:r>
            <w:r w:rsidR="00896556">
              <w:rPr>
                <w:rFonts w:eastAsiaTheme="minorEastAsia"/>
                <w:noProof/>
                <w:color w:val="auto"/>
                <w:kern w:val="2"/>
                <w:sz w:val="22"/>
                <w:szCs w:val="22"/>
                <w14:ligatures w14:val="standardContextual"/>
              </w:rPr>
              <w:tab/>
            </w:r>
            <w:r w:rsidR="00896556" w:rsidRPr="00B04E57">
              <w:rPr>
                <w:rStyle w:val="Hyperlink"/>
                <w:noProof/>
              </w:rPr>
              <w:t>Elements of instructional faculty evaluations</w:t>
            </w:r>
            <w:r w:rsidR="00896556">
              <w:rPr>
                <w:noProof/>
                <w:webHidden/>
              </w:rPr>
              <w:tab/>
            </w:r>
            <w:r w:rsidR="00896556">
              <w:rPr>
                <w:noProof/>
                <w:webHidden/>
              </w:rPr>
              <w:fldChar w:fldCharType="begin"/>
            </w:r>
            <w:r w:rsidR="00896556">
              <w:rPr>
                <w:noProof/>
                <w:webHidden/>
              </w:rPr>
              <w:instrText xml:space="preserve"> PAGEREF _Toc158832137 \h </w:instrText>
            </w:r>
            <w:r w:rsidR="00896556">
              <w:rPr>
                <w:noProof/>
                <w:webHidden/>
              </w:rPr>
            </w:r>
            <w:r w:rsidR="00896556">
              <w:rPr>
                <w:noProof/>
                <w:webHidden/>
              </w:rPr>
              <w:fldChar w:fldCharType="separate"/>
            </w:r>
            <w:r w:rsidR="00896556">
              <w:rPr>
                <w:noProof/>
                <w:webHidden/>
              </w:rPr>
              <w:t>7</w:t>
            </w:r>
            <w:r w:rsidR="00896556">
              <w:rPr>
                <w:noProof/>
                <w:webHidden/>
              </w:rPr>
              <w:fldChar w:fldCharType="end"/>
            </w:r>
          </w:hyperlink>
        </w:p>
        <w:p w14:paraId="49AB88AE" w14:textId="52273C12" w:rsidR="00896556" w:rsidRDefault="00B43938" w:rsidP="00896556">
          <w:pPr>
            <w:pStyle w:val="TOC2"/>
            <w:rPr>
              <w:rFonts w:eastAsiaTheme="minorEastAsia"/>
              <w:noProof/>
              <w:color w:val="auto"/>
              <w:kern w:val="2"/>
              <w:sz w:val="22"/>
              <w:szCs w:val="22"/>
              <w14:ligatures w14:val="standardContextual"/>
            </w:rPr>
          </w:pPr>
          <w:hyperlink w:anchor="_Toc158832138" w:history="1">
            <w:r w:rsidR="00896556" w:rsidRPr="00B04E57">
              <w:rPr>
                <w:rStyle w:val="Hyperlink"/>
                <w:noProof/>
              </w:rPr>
              <w:t>A.</w:t>
            </w:r>
            <w:r w:rsidR="00896556">
              <w:rPr>
                <w:rFonts w:eastAsiaTheme="minorEastAsia"/>
                <w:noProof/>
                <w:color w:val="auto"/>
                <w:kern w:val="2"/>
                <w:sz w:val="22"/>
                <w:szCs w:val="22"/>
                <w14:ligatures w14:val="standardContextual"/>
              </w:rPr>
              <w:tab/>
            </w:r>
            <w:r w:rsidR="00896556" w:rsidRPr="00B04E57">
              <w:rPr>
                <w:rStyle w:val="Hyperlink"/>
                <w:noProof/>
              </w:rPr>
              <w:t>Evaluation of Teaching</w:t>
            </w:r>
            <w:r w:rsidR="00896556">
              <w:rPr>
                <w:noProof/>
                <w:webHidden/>
              </w:rPr>
              <w:tab/>
            </w:r>
            <w:r w:rsidR="00896556">
              <w:rPr>
                <w:noProof/>
                <w:webHidden/>
              </w:rPr>
              <w:fldChar w:fldCharType="begin"/>
            </w:r>
            <w:r w:rsidR="00896556">
              <w:rPr>
                <w:noProof/>
                <w:webHidden/>
              </w:rPr>
              <w:instrText xml:space="preserve"> PAGEREF _Toc158832138 \h </w:instrText>
            </w:r>
            <w:r w:rsidR="00896556">
              <w:rPr>
                <w:noProof/>
                <w:webHidden/>
              </w:rPr>
            </w:r>
            <w:r w:rsidR="00896556">
              <w:rPr>
                <w:noProof/>
                <w:webHidden/>
              </w:rPr>
              <w:fldChar w:fldCharType="separate"/>
            </w:r>
            <w:r w:rsidR="00896556">
              <w:rPr>
                <w:noProof/>
                <w:webHidden/>
              </w:rPr>
              <w:t>7</w:t>
            </w:r>
            <w:r w:rsidR="00896556">
              <w:rPr>
                <w:noProof/>
                <w:webHidden/>
              </w:rPr>
              <w:fldChar w:fldCharType="end"/>
            </w:r>
          </w:hyperlink>
        </w:p>
        <w:p w14:paraId="54A75FD7" w14:textId="7A6CB55D" w:rsidR="00896556" w:rsidRDefault="00B43938" w:rsidP="00896556">
          <w:pPr>
            <w:pStyle w:val="TOC2"/>
            <w:rPr>
              <w:rFonts w:eastAsiaTheme="minorEastAsia"/>
              <w:noProof/>
              <w:color w:val="auto"/>
              <w:kern w:val="2"/>
              <w:sz w:val="22"/>
              <w:szCs w:val="22"/>
              <w14:ligatures w14:val="standardContextual"/>
            </w:rPr>
          </w:pPr>
          <w:hyperlink w:anchor="_Toc158832139" w:history="1">
            <w:r w:rsidR="00896556" w:rsidRPr="00B04E57">
              <w:rPr>
                <w:rStyle w:val="Hyperlink"/>
                <w:noProof/>
              </w:rPr>
              <w:t>B.</w:t>
            </w:r>
            <w:r w:rsidR="00896556">
              <w:rPr>
                <w:rFonts w:eastAsiaTheme="minorEastAsia"/>
                <w:noProof/>
                <w:color w:val="auto"/>
                <w:kern w:val="2"/>
                <w:sz w:val="22"/>
                <w:szCs w:val="22"/>
                <w14:ligatures w14:val="standardContextual"/>
              </w:rPr>
              <w:tab/>
            </w:r>
            <w:r w:rsidR="00896556" w:rsidRPr="00B04E57">
              <w:rPr>
                <w:rStyle w:val="Hyperlink"/>
                <w:noProof/>
              </w:rPr>
              <w:t>Evaluation of Professional Productivity and Service</w:t>
            </w:r>
            <w:r w:rsidR="00896556">
              <w:rPr>
                <w:noProof/>
                <w:webHidden/>
              </w:rPr>
              <w:tab/>
            </w:r>
            <w:r w:rsidR="00896556">
              <w:rPr>
                <w:noProof/>
                <w:webHidden/>
              </w:rPr>
              <w:fldChar w:fldCharType="begin"/>
            </w:r>
            <w:r w:rsidR="00896556">
              <w:rPr>
                <w:noProof/>
                <w:webHidden/>
              </w:rPr>
              <w:instrText xml:space="preserve"> PAGEREF _Toc158832139 \h </w:instrText>
            </w:r>
            <w:r w:rsidR="00896556">
              <w:rPr>
                <w:noProof/>
                <w:webHidden/>
              </w:rPr>
            </w:r>
            <w:r w:rsidR="00896556">
              <w:rPr>
                <w:noProof/>
                <w:webHidden/>
              </w:rPr>
              <w:fldChar w:fldCharType="separate"/>
            </w:r>
            <w:r w:rsidR="00896556">
              <w:rPr>
                <w:noProof/>
                <w:webHidden/>
              </w:rPr>
              <w:t>9</w:t>
            </w:r>
            <w:r w:rsidR="00896556">
              <w:rPr>
                <w:noProof/>
                <w:webHidden/>
              </w:rPr>
              <w:fldChar w:fldCharType="end"/>
            </w:r>
          </w:hyperlink>
        </w:p>
        <w:p w14:paraId="341492C6" w14:textId="5F9BC9CA" w:rsidR="00896556" w:rsidRDefault="00B43938" w:rsidP="00896556">
          <w:pPr>
            <w:pStyle w:val="TOC2"/>
            <w:rPr>
              <w:rFonts w:eastAsiaTheme="minorEastAsia"/>
              <w:noProof/>
              <w:color w:val="auto"/>
              <w:kern w:val="2"/>
              <w:sz w:val="22"/>
              <w:szCs w:val="22"/>
              <w14:ligatures w14:val="standardContextual"/>
            </w:rPr>
          </w:pPr>
          <w:hyperlink w:anchor="_Toc158832140" w:history="1">
            <w:r w:rsidR="00896556" w:rsidRPr="00B04E57">
              <w:rPr>
                <w:rStyle w:val="Hyperlink"/>
                <w:noProof/>
              </w:rPr>
              <w:t>C.</w:t>
            </w:r>
            <w:r w:rsidR="00896556">
              <w:rPr>
                <w:rFonts w:eastAsiaTheme="minorEastAsia"/>
                <w:noProof/>
                <w:color w:val="auto"/>
                <w:kern w:val="2"/>
                <w:sz w:val="22"/>
                <w:szCs w:val="22"/>
                <w14:ligatures w14:val="standardContextual"/>
              </w:rPr>
              <w:tab/>
            </w:r>
            <w:r w:rsidR="00896556" w:rsidRPr="00B04E57">
              <w:rPr>
                <w:rStyle w:val="Hyperlink"/>
                <w:noProof/>
              </w:rPr>
              <w:t>Summary</w:t>
            </w:r>
            <w:r w:rsidR="00896556">
              <w:rPr>
                <w:noProof/>
                <w:webHidden/>
              </w:rPr>
              <w:tab/>
            </w:r>
            <w:r w:rsidR="00896556">
              <w:rPr>
                <w:noProof/>
                <w:webHidden/>
              </w:rPr>
              <w:fldChar w:fldCharType="begin"/>
            </w:r>
            <w:r w:rsidR="00896556">
              <w:rPr>
                <w:noProof/>
                <w:webHidden/>
              </w:rPr>
              <w:instrText xml:space="preserve"> PAGEREF _Toc158832140 \h </w:instrText>
            </w:r>
            <w:r w:rsidR="00896556">
              <w:rPr>
                <w:noProof/>
                <w:webHidden/>
              </w:rPr>
            </w:r>
            <w:r w:rsidR="00896556">
              <w:rPr>
                <w:noProof/>
                <w:webHidden/>
              </w:rPr>
              <w:fldChar w:fldCharType="separate"/>
            </w:r>
            <w:r w:rsidR="00896556">
              <w:rPr>
                <w:noProof/>
                <w:webHidden/>
              </w:rPr>
              <w:t>10</w:t>
            </w:r>
            <w:r w:rsidR="00896556">
              <w:rPr>
                <w:noProof/>
                <w:webHidden/>
              </w:rPr>
              <w:fldChar w:fldCharType="end"/>
            </w:r>
          </w:hyperlink>
        </w:p>
        <w:p w14:paraId="144F7D57" w14:textId="7050DF5D" w:rsidR="00896556" w:rsidRDefault="00B43938" w:rsidP="00896556">
          <w:pPr>
            <w:pStyle w:val="TOC1"/>
            <w:rPr>
              <w:rFonts w:eastAsiaTheme="minorEastAsia"/>
              <w:noProof/>
              <w:color w:val="auto"/>
              <w:kern w:val="2"/>
              <w:sz w:val="22"/>
              <w:szCs w:val="22"/>
              <w14:ligatures w14:val="standardContextual"/>
            </w:rPr>
          </w:pPr>
          <w:hyperlink w:anchor="_Toc158832141" w:history="1">
            <w:r w:rsidR="00896556" w:rsidRPr="00B04E57">
              <w:rPr>
                <w:rStyle w:val="Hyperlink"/>
                <w:noProof/>
              </w:rPr>
              <w:t>IV.</w:t>
            </w:r>
            <w:r w:rsidR="00896556">
              <w:rPr>
                <w:rFonts w:eastAsiaTheme="minorEastAsia"/>
                <w:noProof/>
                <w:color w:val="auto"/>
                <w:kern w:val="2"/>
                <w:sz w:val="22"/>
                <w:szCs w:val="22"/>
                <w14:ligatures w14:val="standardContextual"/>
              </w:rPr>
              <w:tab/>
            </w:r>
            <w:r w:rsidR="00896556" w:rsidRPr="00B04E57">
              <w:rPr>
                <w:rStyle w:val="Hyperlink"/>
                <w:noProof/>
              </w:rPr>
              <w:t>Review and Evaluation Procedures</w:t>
            </w:r>
            <w:r w:rsidR="00896556">
              <w:rPr>
                <w:noProof/>
                <w:webHidden/>
              </w:rPr>
              <w:tab/>
            </w:r>
            <w:r w:rsidR="00896556">
              <w:rPr>
                <w:noProof/>
                <w:webHidden/>
              </w:rPr>
              <w:fldChar w:fldCharType="begin"/>
            </w:r>
            <w:r w:rsidR="00896556">
              <w:rPr>
                <w:noProof/>
                <w:webHidden/>
              </w:rPr>
              <w:instrText xml:space="preserve"> PAGEREF _Toc158832141 \h </w:instrText>
            </w:r>
            <w:r w:rsidR="00896556">
              <w:rPr>
                <w:noProof/>
                <w:webHidden/>
              </w:rPr>
            </w:r>
            <w:r w:rsidR="00896556">
              <w:rPr>
                <w:noProof/>
                <w:webHidden/>
              </w:rPr>
              <w:fldChar w:fldCharType="separate"/>
            </w:r>
            <w:r w:rsidR="00896556">
              <w:rPr>
                <w:noProof/>
                <w:webHidden/>
              </w:rPr>
              <w:t>11</w:t>
            </w:r>
            <w:r w:rsidR="00896556">
              <w:rPr>
                <w:noProof/>
                <w:webHidden/>
              </w:rPr>
              <w:fldChar w:fldCharType="end"/>
            </w:r>
          </w:hyperlink>
        </w:p>
        <w:p w14:paraId="48882A0D" w14:textId="34701582" w:rsidR="00896556" w:rsidRDefault="00B43938" w:rsidP="00896556">
          <w:pPr>
            <w:pStyle w:val="TOC2"/>
            <w:rPr>
              <w:rFonts w:eastAsiaTheme="minorEastAsia"/>
              <w:noProof/>
              <w:color w:val="auto"/>
              <w:kern w:val="2"/>
              <w:sz w:val="22"/>
              <w:szCs w:val="22"/>
              <w14:ligatures w14:val="standardContextual"/>
            </w:rPr>
          </w:pPr>
          <w:hyperlink w:anchor="_Toc158832142" w:history="1">
            <w:r w:rsidR="00896556" w:rsidRPr="00B04E57">
              <w:rPr>
                <w:rStyle w:val="Hyperlink"/>
                <w:noProof/>
              </w:rPr>
              <w:t>A.</w:t>
            </w:r>
            <w:r w:rsidR="00896556">
              <w:rPr>
                <w:rFonts w:eastAsiaTheme="minorEastAsia"/>
                <w:noProof/>
                <w:color w:val="auto"/>
                <w:kern w:val="2"/>
                <w:sz w:val="22"/>
                <w:szCs w:val="22"/>
                <w14:ligatures w14:val="standardContextual"/>
              </w:rPr>
              <w:tab/>
            </w:r>
            <w:r w:rsidR="00896556" w:rsidRPr="00B04E57">
              <w:rPr>
                <w:rStyle w:val="Hyperlink"/>
                <w:noProof/>
              </w:rPr>
              <w:t>Annual Evaluations by the Department Executive Officer</w:t>
            </w:r>
            <w:r w:rsidR="00896556">
              <w:rPr>
                <w:noProof/>
                <w:webHidden/>
              </w:rPr>
              <w:tab/>
            </w:r>
            <w:r w:rsidR="00896556">
              <w:rPr>
                <w:noProof/>
                <w:webHidden/>
              </w:rPr>
              <w:fldChar w:fldCharType="begin"/>
            </w:r>
            <w:r w:rsidR="00896556">
              <w:rPr>
                <w:noProof/>
                <w:webHidden/>
              </w:rPr>
              <w:instrText xml:space="preserve"> PAGEREF _Toc158832142 \h </w:instrText>
            </w:r>
            <w:r w:rsidR="00896556">
              <w:rPr>
                <w:noProof/>
                <w:webHidden/>
              </w:rPr>
            </w:r>
            <w:r w:rsidR="00896556">
              <w:rPr>
                <w:noProof/>
                <w:webHidden/>
              </w:rPr>
              <w:fldChar w:fldCharType="separate"/>
            </w:r>
            <w:r w:rsidR="00896556">
              <w:rPr>
                <w:noProof/>
                <w:webHidden/>
              </w:rPr>
              <w:t>11</w:t>
            </w:r>
            <w:r w:rsidR="00896556">
              <w:rPr>
                <w:noProof/>
                <w:webHidden/>
              </w:rPr>
              <w:fldChar w:fldCharType="end"/>
            </w:r>
          </w:hyperlink>
        </w:p>
        <w:p w14:paraId="2AC21E73" w14:textId="58722168" w:rsidR="00896556" w:rsidRDefault="00B43938" w:rsidP="00896556">
          <w:pPr>
            <w:pStyle w:val="TOC2"/>
            <w:rPr>
              <w:rFonts w:eastAsiaTheme="minorEastAsia"/>
              <w:noProof/>
              <w:color w:val="auto"/>
              <w:kern w:val="2"/>
              <w:sz w:val="22"/>
              <w:szCs w:val="22"/>
              <w14:ligatures w14:val="standardContextual"/>
            </w:rPr>
          </w:pPr>
          <w:hyperlink w:anchor="_Toc158832143" w:history="1">
            <w:r w:rsidR="00896556" w:rsidRPr="00B04E57">
              <w:rPr>
                <w:rStyle w:val="Hyperlink"/>
                <w:noProof/>
              </w:rPr>
              <w:t>B.</w:t>
            </w:r>
            <w:r w:rsidR="00896556">
              <w:rPr>
                <w:rFonts w:eastAsiaTheme="minorEastAsia"/>
                <w:noProof/>
                <w:color w:val="auto"/>
                <w:kern w:val="2"/>
                <w:sz w:val="22"/>
                <w:szCs w:val="22"/>
                <w14:ligatures w14:val="standardContextual"/>
              </w:rPr>
              <w:tab/>
            </w:r>
            <w:r w:rsidR="00896556" w:rsidRPr="00B04E57">
              <w:rPr>
                <w:rStyle w:val="Hyperlink"/>
                <w:noProof/>
              </w:rPr>
              <w:t>Faculty Participation in Peer Evaluation for Appointment, Reappointment, and Promotion Recommendations</w:t>
            </w:r>
            <w:r w:rsidR="00896556">
              <w:rPr>
                <w:noProof/>
                <w:webHidden/>
              </w:rPr>
              <w:tab/>
            </w:r>
            <w:r w:rsidR="00896556">
              <w:rPr>
                <w:noProof/>
                <w:webHidden/>
              </w:rPr>
              <w:fldChar w:fldCharType="begin"/>
            </w:r>
            <w:r w:rsidR="00896556">
              <w:rPr>
                <w:noProof/>
                <w:webHidden/>
              </w:rPr>
              <w:instrText xml:space="preserve"> PAGEREF _Toc158832143 \h </w:instrText>
            </w:r>
            <w:r w:rsidR="00896556">
              <w:rPr>
                <w:noProof/>
                <w:webHidden/>
              </w:rPr>
            </w:r>
            <w:r w:rsidR="00896556">
              <w:rPr>
                <w:noProof/>
                <w:webHidden/>
              </w:rPr>
              <w:fldChar w:fldCharType="separate"/>
            </w:r>
            <w:r w:rsidR="00896556">
              <w:rPr>
                <w:noProof/>
                <w:webHidden/>
              </w:rPr>
              <w:t>12</w:t>
            </w:r>
            <w:r w:rsidR="00896556">
              <w:rPr>
                <w:noProof/>
                <w:webHidden/>
              </w:rPr>
              <w:fldChar w:fldCharType="end"/>
            </w:r>
          </w:hyperlink>
        </w:p>
        <w:p w14:paraId="7416E090" w14:textId="0369D938" w:rsidR="00896556" w:rsidRDefault="00B43938" w:rsidP="00896556">
          <w:pPr>
            <w:pStyle w:val="TOC2"/>
            <w:rPr>
              <w:rFonts w:eastAsiaTheme="minorEastAsia"/>
              <w:noProof/>
              <w:color w:val="auto"/>
              <w:kern w:val="2"/>
              <w:sz w:val="22"/>
              <w:szCs w:val="22"/>
              <w14:ligatures w14:val="standardContextual"/>
            </w:rPr>
          </w:pPr>
          <w:hyperlink w:anchor="_Toc158832144" w:history="1">
            <w:r w:rsidR="00896556" w:rsidRPr="00B04E57">
              <w:rPr>
                <w:rStyle w:val="Hyperlink"/>
                <w:noProof/>
              </w:rPr>
              <w:t>C.</w:t>
            </w:r>
            <w:r w:rsidR="00896556">
              <w:rPr>
                <w:rFonts w:eastAsiaTheme="minorEastAsia"/>
                <w:noProof/>
                <w:color w:val="auto"/>
                <w:kern w:val="2"/>
                <w:sz w:val="22"/>
                <w:szCs w:val="22"/>
                <w14:ligatures w14:val="standardContextual"/>
              </w:rPr>
              <w:tab/>
            </w:r>
            <w:r w:rsidR="00896556" w:rsidRPr="00B04E57">
              <w:rPr>
                <w:rStyle w:val="Hyperlink"/>
                <w:noProof/>
              </w:rPr>
              <w:t>Procedures for New Appointments</w:t>
            </w:r>
            <w:r w:rsidR="00896556">
              <w:rPr>
                <w:noProof/>
                <w:webHidden/>
              </w:rPr>
              <w:tab/>
            </w:r>
            <w:r w:rsidR="00896556">
              <w:rPr>
                <w:noProof/>
                <w:webHidden/>
              </w:rPr>
              <w:fldChar w:fldCharType="begin"/>
            </w:r>
            <w:r w:rsidR="00896556">
              <w:rPr>
                <w:noProof/>
                <w:webHidden/>
              </w:rPr>
              <w:instrText xml:space="preserve"> PAGEREF _Toc158832144 \h </w:instrText>
            </w:r>
            <w:r w:rsidR="00896556">
              <w:rPr>
                <w:noProof/>
                <w:webHidden/>
              </w:rPr>
            </w:r>
            <w:r w:rsidR="00896556">
              <w:rPr>
                <w:noProof/>
                <w:webHidden/>
              </w:rPr>
              <w:fldChar w:fldCharType="separate"/>
            </w:r>
            <w:r w:rsidR="00896556">
              <w:rPr>
                <w:noProof/>
                <w:webHidden/>
              </w:rPr>
              <w:t>12</w:t>
            </w:r>
            <w:r w:rsidR="00896556">
              <w:rPr>
                <w:noProof/>
                <w:webHidden/>
              </w:rPr>
              <w:fldChar w:fldCharType="end"/>
            </w:r>
          </w:hyperlink>
        </w:p>
        <w:p w14:paraId="2CB1FCC2" w14:textId="4B2601C4" w:rsidR="00896556" w:rsidRDefault="00B43938" w:rsidP="00896556">
          <w:pPr>
            <w:pStyle w:val="TOC2"/>
            <w:rPr>
              <w:rFonts w:eastAsiaTheme="minorEastAsia"/>
              <w:noProof/>
              <w:color w:val="auto"/>
              <w:kern w:val="2"/>
              <w:sz w:val="22"/>
              <w:szCs w:val="22"/>
              <w14:ligatures w14:val="standardContextual"/>
            </w:rPr>
          </w:pPr>
          <w:hyperlink w:anchor="_Toc158832145" w:history="1">
            <w:r w:rsidR="00896556" w:rsidRPr="00B04E57">
              <w:rPr>
                <w:rStyle w:val="Hyperlink"/>
                <w:noProof/>
              </w:rPr>
              <w:t>D.</w:t>
            </w:r>
            <w:r w:rsidR="00896556">
              <w:rPr>
                <w:rFonts w:eastAsiaTheme="minorEastAsia"/>
                <w:noProof/>
                <w:color w:val="auto"/>
                <w:kern w:val="2"/>
                <w:sz w:val="22"/>
                <w:szCs w:val="22"/>
                <w14:ligatures w14:val="standardContextual"/>
              </w:rPr>
              <w:tab/>
            </w:r>
            <w:r w:rsidR="00896556" w:rsidRPr="00B04E57">
              <w:rPr>
                <w:rStyle w:val="Hyperlink"/>
                <w:noProof/>
              </w:rPr>
              <w:t>Procedures for Reappointments</w:t>
            </w:r>
            <w:r w:rsidR="00896556">
              <w:rPr>
                <w:noProof/>
                <w:webHidden/>
              </w:rPr>
              <w:tab/>
            </w:r>
            <w:r w:rsidR="00896556">
              <w:rPr>
                <w:noProof/>
                <w:webHidden/>
              </w:rPr>
              <w:fldChar w:fldCharType="begin"/>
            </w:r>
            <w:r w:rsidR="00896556">
              <w:rPr>
                <w:noProof/>
                <w:webHidden/>
              </w:rPr>
              <w:instrText xml:space="preserve"> PAGEREF _Toc158832145 \h </w:instrText>
            </w:r>
            <w:r w:rsidR="00896556">
              <w:rPr>
                <w:noProof/>
                <w:webHidden/>
              </w:rPr>
            </w:r>
            <w:r w:rsidR="00896556">
              <w:rPr>
                <w:noProof/>
                <w:webHidden/>
              </w:rPr>
              <w:fldChar w:fldCharType="separate"/>
            </w:r>
            <w:r w:rsidR="00896556">
              <w:rPr>
                <w:noProof/>
                <w:webHidden/>
              </w:rPr>
              <w:t>14</w:t>
            </w:r>
            <w:r w:rsidR="00896556">
              <w:rPr>
                <w:noProof/>
                <w:webHidden/>
              </w:rPr>
              <w:fldChar w:fldCharType="end"/>
            </w:r>
          </w:hyperlink>
        </w:p>
        <w:p w14:paraId="433A6F79" w14:textId="0CEA901C" w:rsidR="00896556" w:rsidRDefault="00B43938" w:rsidP="00896556">
          <w:pPr>
            <w:pStyle w:val="TOC2"/>
            <w:rPr>
              <w:rFonts w:eastAsiaTheme="minorEastAsia"/>
              <w:noProof/>
              <w:color w:val="auto"/>
              <w:kern w:val="2"/>
              <w:sz w:val="22"/>
              <w:szCs w:val="22"/>
              <w14:ligatures w14:val="standardContextual"/>
            </w:rPr>
          </w:pPr>
          <w:hyperlink w:anchor="_Toc158832146" w:history="1">
            <w:r w:rsidR="00896556" w:rsidRPr="00B04E57">
              <w:rPr>
                <w:rStyle w:val="Hyperlink"/>
                <w:noProof/>
              </w:rPr>
              <w:t>E.</w:t>
            </w:r>
            <w:r w:rsidR="00896556">
              <w:rPr>
                <w:rFonts w:eastAsiaTheme="minorEastAsia"/>
                <w:noProof/>
                <w:color w:val="auto"/>
                <w:kern w:val="2"/>
                <w:sz w:val="22"/>
                <w:szCs w:val="22"/>
                <w14:ligatures w14:val="standardContextual"/>
              </w:rPr>
              <w:tab/>
            </w:r>
            <w:r w:rsidR="00896556" w:rsidRPr="00B04E57">
              <w:rPr>
                <w:rStyle w:val="Hyperlink"/>
                <w:noProof/>
              </w:rPr>
              <w:t>Procedures for Promotion</w:t>
            </w:r>
            <w:r w:rsidR="00896556">
              <w:rPr>
                <w:noProof/>
                <w:webHidden/>
              </w:rPr>
              <w:tab/>
            </w:r>
            <w:r w:rsidR="00896556">
              <w:rPr>
                <w:noProof/>
                <w:webHidden/>
              </w:rPr>
              <w:fldChar w:fldCharType="begin"/>
            </w:r>
            <w:r w:rsidR="00896556">
              <w:rPr>
                <w:noProof/>
                <w:webHidden/>
              </w:rPr>
              <w:instrText xml:space="preserve"> PAGEREF _Toc158832146 \h </w:instrText>
            </w:r>
            <w:r w:rsidR="00896556">
              <w:rPr>
                <w:noProof/>
                <w:webHidden/>
              </w:rPr>
            </w:r>
            <w:r w:rsidR="00896556">
              <w:rPr>
                <w:noProof/>
                <w:webHidden/>
              </w:rPr>
              <w:fldChar w:fldCharType="separate"/>
            </w:r>
            <w:r w:rsidR="00896556">
              <w:rPr>
                <w:noProof/>
                <w:webHidden/>
              </w:rPr>
              <w:t>15</w:t>
            </w:r>
            <w:r w:rsidR="00896556">
              <w:rPr>
                <w:noProof/>
                <w:webHidden/>
              </w:rPr>
              <w:fldChar w:fldCharType="end"/>
            </w:r>
          </w:hyperlink>
        </w:p>
        <w:p w14:paraId="33D35C5C" w14:textId="34E13A89" w:rsidR="00896556" w:rsidRDefault="00B43938" w:rsidP="00896556">
          <w:pPr>
            <w:pStyle w:val="TOC2"/>
            <w:rPr>
              <w:rFonts w:eastAsiaTheme="minorEastAsia"/>
              <w:noProof/>
              <w:color w:val="auto"/>
              <w:kern w:val="2"/>
              <w:sz w:val="22"/>
              <w:szCs w:val="22"/>
              <w14:ligatures w14:val="standardContextual"/>
            </w:rPr>
          </w:pPr>
          <w:hyperlink w:anchor="_Toc158832147" w:history="1">
            <w:r w:rsidR="00896556" w:rsidRPr="00B04E57">
              <w:rPr>
                <w:rStyle w:val="Hyperlink"/>
                <w:noProof/>
              </w:rPr>
              <w:t>F.</w:t>
            </w:r>
            <w:r w:rsidR="00896556">
              <w:rPr>
                <w:rFonts w:eastAsiaTheme="minorEastAsia"/>
                <w:noProof/>
                <w:color w:val="auto"/>
                <w:kern w:val="2"/>
                <w:sz w:val="22"/>
                <w:szCs w:val="22"/>
                <w14:ligatures w14:val="standardContextual"/>
              </w:rPr>
              <w:tab/>
            </w:r>
            <w:r w:rsidR="00896556" w:rsidRPr="00B04E57">
              <w:rPr>
                <w:rStyle w:val="Hyperlink"/>
                <w:noProof/>
              </w:rPr>
              <w:t>Collegiate Procedures for Promotion of Instructional Faculty</w:t>
            </w:r>
            <w:r w:rsidR="00896556">
              <w:rPr>
                <w:noProof/>
                <w:webHidden/>
              </w:rPr>
              <w:tab/>
            </w:r>
            <w:r w:rsidR="00896556">
              <w:rPr>
                <w:noProof/>
                <w:webHidden/>
              </w:rPr>
              <w:fldChar w:fldCharType="begin"/>
            </w:r>
            <w:r w:rsidR="00896556">
              <w:rPr>
                <w:noProof/>
                <w:webHidden/>
              </w:rPr>
              <w:instrText xml:space="preserve"> PAGEREF _Toc158832147 \h </w:instrText>
            </w:r>
            <w:r w:rsidR="00896556">
              <w:rPr>
                <w:noProof/>
                <w:webHidden/>
              </w:rPr>
            </w:r>
            <w:r w:rsidR="00896556">
              <w:rPr>
                <w:noProof/>
                <w:webHidden/>
              </w:rPr>
              <w:fldChar w:fldCharType="separate"/>
            </w:r>
            <w:r w:rsidR="00896556">
              <w:rPr>
                <w:noProof/>
                <w:webHidden/>
              </w:rPr>
              <w:t>18</w:t>
            </w:r>
            <w:r w:rsidR="00896556">
              <w:rPr>
                <w:noProof/>
                <w:webHidden/>
              </w:rPr>
              <w:fldChar w:fldCharType="end"/>
            </w:r>
          </w:hyperlink>
        </w:p>
        <w:p w14:paraId="4E8B025F" w14:textId="7B842E29" w:rsidR="00896556" w:rsidRDefault="00B43938" w:rsidP="00896556">
          <w:pPr>
            <w:pStyle w:val="TOC2"/>
            <w:rPr>
              <w:rFonts w:eastAsiaTheme="minorEastAsia"/>
              <w:noProof/>
              <w:color w:val="auto"/>
              <w:kern w:val="2"/>
              <w:sz w:val="22"/>
              <w:szCs w:val="22"/>
              <w14:ligatures w14:val="standardContextual"/>
            </w:rPr>
          </w:pPr>
          <w:hyperlink w:anchor="_Toc158832148" w:history="1">
            <w:r w:rsidR="00896556" w:rsidRPr="00B04E57">
              <w:rPr>
                <w:rStyle w:val="Hyperlink"/>
                <w:noProof/>
              </w:rPr>
              <w:t>G.</w:t>
            </w:r>
            <w:r w:rsidR="00896556">
              <w:rPr>
                <w:rFonts w:eastAsiaTheme="minorEastAsia"/>
                <w:noProof/>
                <w:color w:val="auto"/>
                <w:kern w:val="2"/>
                <w:sz w:val="22"/>
                <w:szCs w:val="22"/>
                <w14:ligatures w14:val="standardContextual"/>
              </w:rPr>
              <w:tab/>
            </w:r>
            <w:r w:rsidR="00896556" w:rsidRPr="00B04E57">
              <w:rPr>
                <w:rStyle w:val="Hyperlink"/>
                <w:noProof/>
              </w:rPr>
              <w:t>Other Considerations</w:t>
            </w:r>
            <w:r w:rsidR="00896556">
              <w:rPr>
                <w:noProof/>
                <w:webHidden/>
              </w:rPr>
              <w:tab/>
            </w:r>
            <w:r w:rsidR="00896556">
              <w:rPr>
                <w:noProof/>
                <w:webHidden/>
              </w:rPr>
              <w:fldChar w:fldCharType="begin"/>
            </w:r>
            <w:r w:rsidR="00896556">
              <w:rPr>
                <w:noProof/>
                <w:webHidden/>
              </w:rPr>
              <w:instrText xml:space="preserve"> PAGEREF _Toc158832148 \h </w:instrText>
            </w:r>
            <w:r w:rsidR="00896556">
              <w:rPr>
                <w:noProof/>
                <w:webHidden/>
              </w:rPr>
            </w:r>
            <w:r w:rsidR="00896556">
              <w:rPr>
                <w:noProof/>
                <w:webHidden/>
              </w:rPr>
              <w:fldChar w:fldCharType="separate"/>
            </w:r>
            <w:r w:rsidR="00896556">
              <w:rPr>
                <w:noProof/>
                <w:webHidden/>
              </w:rPr>
              <w:t>19</w:t>
            </w:r>
            <w:r w:rsidR="00896556">
              <w:rPr>
                <w:noProof/>
                <w:webHidden/>
              </w:rPr>
              <w:fldChar w:fldCharType="end"/>
            </w:r>
          </w:hyperlink>
        </w:p>
        <w:p w14:paraId="32C48DB2" w14:textId="45E6E541" w:rsidR="00D77638" w:rsidRPr="00661E54" w:rsidRDefault="00460BAE">
          <w:r w:rsidRPr="00661E54">
            <w:fldChar w:fldCharType="end"/>
          </w:r>
        </w:p>
      </w:sdtContent>
    </w:sdt>
    <w:p w14:paraId="397CBDD1" w14:textId="77777777" w:rsidR="00D77638" w:rsidRPr="00661E54" w:rsidRDefault="00D77638"/>
    <w:p w14:paraId="018ADC73" w14:textId="77777777" w:rsidR="00D77638" w:rsidRPr="00661E54" w:rsidRDefault="00460BAE">
      <w:pPr>
        <w:rPr>
          <w:b/>
        </w:rPr>
      </w:pPr>
      <w:r w:rsidRPr="00661E54">
        <w:br w:type="page"/>
      </w:r>
    </w:p>
    <w:p w14:paraId="4737D795" w14:textId="77777777" w:rsidR="00D77638" w:rsidRPr="00661E54" w:rsidRDefault="00460BAE">
      <w:pPr>
        <w:pStyle w:val="Heading1"/>
        <w:numPr>
          <w:ilvl w:val="0"/>
          <w:numId w:val="3"/>
        </w:numPr>
      </w:pPr>
      <w:bookmarkStart w:id="5" w:name="_Toc457908030"/>
      <w:bookmarkStart w:id="6" w:name="_Toc457908168"/>
      <w:bookmarkStart w:id="7" w:name="_Toc158832129"/>
      <w:bookmarkEnd w:id="5"/>
      <w:bookmarkEnd w:id="6"/>
      <w:r w:rsidRPr="00661E54">
        <w:lastRenderedPageBreak/>
        <w:t>Introduction</w:t>
      </w:r>
      <w:bookmarkEnd w:id="7"/>
    </w:p>
    <w:p w14:paraId="445644A0" w14:textId="377D0296" w:rsidR="00D77638" w:rsidRPr="00661E54" w:rsidRDefault="0020646F">
      <w:r>
        <w:t>The College of Engineering recognizes that i</w:t>
      </w:r>
      <w:r w:rsidR="00460BAE" w:rsidRPr="00661E54">
        <w:t xml:space="preserve">nstructional faculty </w:t>
      </w:r>
      <w:r w:rsidR="004C3FE8">
        <w:t>(</w:t>
      </w:r>
      <w:r w:rsidR="00A23E12">
        <w:t>Assistant Professors of Instruction</w:t>
      </w:r>
      <w:r w:rsidR="004C3FE8" w:rsidRPr="00370C8D">
        <w:rPr>
          <w:strike/>
        </w:rPr>
        <w:t>,</w:t>
      </w:r>
      <w:r w:rsidR="004C3FE8">
        <w:t xml:space="preserve"> Associ</w:t>
      </w:r>
      <w:r>
        <w:t>ate Professors of Instruction,</w:t>
      </w:r>
      <w:r w:rsidR="004C3FE8">
        <w:t xml:space="preserve"> Professors of Instruction</w:t>
      </w:r>
      <w:r>
        <w:t xml:space="preserve">, </w:t>
      </w:r>
      <w:r w:rsidR="00A23E12">
        <w:t xml:space="preserve">Assistant Professors of Practice, </w:t>
      </w:r>
      <w:r>
        <w:t xml:space="preserve">Associate Professors of Practice, </w:t>
      </w:r>
      <w:r w:rsidR="00DD70AD">
        <w:t xml:space="preserve">and </w:t>
      </w:r>
      <w:r>
        <w:t>Professors of Practice</w:t>
      </w:r>
      <w:r w:rsidR="004C3FE8">
        <w:t xml:space="preserve">) </w:t>
      </w:r>
      <w:r w:rsidR="00460BAE" w:rsidRPr="00661E54">
        <w:t>play an important role in advancing the teaching excellence of the College of Engineering.  Instructional faculty focus on the teaching mission to provide departments with critical support and expertise to ensure the success of t</w:t>
      </w:r>
      <w:r w:rsidR="004C3FE8">
        <w:t>hat</w:t>
      </w:r>
      <w:r w:rsidR="00460BAE" w:rsidRPr="00661E54">
        <w:t xml:space="preserve"> mission.  Examples may </w:t>
      </w:r>
      <w:proofErr w:type="gramStart"/>
      <w:r w:rsidR="00460BAE" w:rsidRPr="00661E54">
        <w:t>include:</w:t>
      </w:r>
      <w:proofErr w:type="gramEnd"/>
      <w:r w:rsidR="00460BAE" w:rsidRPr="00661E54">
        <w:t xml:space="preserve"> expert teaching in an important subject area that does not align with a research thrust; specialized skills and knowledge that don’t currently exist in the department; high quality teaching of core departmental courses; performance of important tasks related to accreditation, projects labs, laboratory course support, outreach, extracurricular activities, etc.  In addition, some instructional faculty members may be at the forefront of the development of innovative teaching methods, while others may enhance the educational opportunities offered to our students due to the specialized experiences or knowledge that they have gained in a prior engineering career.  </w:t>
      </w:r>
      <w:r w:rsidR="002F2159">
        <w:t>The College of Engineering justification for hiring instructional faculty is twofold:  1) teaching demand may exceed the capability of tenure-track faculty to fulfill certain elements of the teaching mission as described above</w:t>
      </w:r>
      <w:r w:rsidR="00CD6DBE">
        <w:t>, and</w:t>
      </w:r>
      <w:r w:rsidR="002F2159">
        <w:t xml:space="preserve"> 2) opportunities may exist to recruit people with unique capabilities to contribute to the teaching mission as described above that are not interested in a tenure-track faculty position.  </w:t>
      </w:r>
      <w:r w:rsidR="00460BAE" w:rsidRPr="00661E54">
        <w:t>To optimize the positive impact that instructional faculty can have on our undergraduate and graduate programs, the policies and guidelines for their recruitment and retention must be designed to attract the best available candidates, engage them in a vibrant community of teaching and learning, and support their development as valued professionals.</w:t>
      </w:r>
    </w:p>
    <w:p w14:paraId="003EBE27" w14:textId="74CB9A6D" w:rsidR="00D77638" w:rsidRPr="00661E54" w:rsidRDefault="00460BAE" w:rsidP="00F2479E">
      <w:r w:rsidRPr="00661E54">
        <w:t>Instructional faculty participate in relevant matters of departmental and collegiate governance.  Instructional faculty</w:t>
      </w:r>
      <w:r w:rsidR="00CB7F08">
        <w:t xml:space="preserve"> with a 50% FTE or greater UI appointment</w:t>
      </w:r>
      <w:r w:rsidRPr="00661E54">
        <w:t xml:space="preserve"> are eligible to serve on the Engineering Faculty Council (EFC) and are eligible to vote on all matters of curriculum at the departmental and collegiate levels.    Instructional faculty may </w:t>
      </w:r>
      <w:r w:rsidR="00EC15E9">
        <w:t>be consulted</w:t>
      </w:r>
      <w:r w:rsidRPr="00661E54">
        <w:t xml:space="preserve"> in reviews of other instructional faculty and, if requested by the Department Executive Officer may participate in reviews of tenure</w:t>
      </w:r>
      <w:r w:rsidR="004667CA">
        <w:t>d</w:t>
      </w:r>
      <w:r w:rsidRPr="00661E54">
        <w:t xml:space="preserve"> or tenure-track faculty members, but do not vote on the </w:t>
      </w:r>
      <w:r w:rsidR="00EC190A">
        <w:t xml:space="preserve">appointment, </w:t>
      </w:r>
      <w:r w:rsidRPr="00661E54">
        <w:t xml:space="preserve">reappointment, tenure, or promotion of any tenured or tenure-track faculty member.  </w:t>
      </w:r>
    </w:p>
    <w:p w14:paraId="021185F6" w14:textId="49A14C9D" w:rsidR="00D77638" w:rsidRPr="00661E54" w:rsidRDefault="00460BAE">
      <w:r w:rsidRPr="00661E54">
        <w:t xml:space="preserve">The total number of full-time equivalent (FTE) instructional faculty appointed in the College of Engineering will not exceed twenty percent of the </w:t>
      </w:r>
      <w:r w:rsidR="00EC190A">
        <w:t xml:space="preserve">total salaried FTE </w:t>
      </w:r>
      <w:r w:rsidR="004C3FE8">
        <w:t xml:space="preserve">faculty in the </w:t>
      </w:r>
      <w:r w:rsidR="00272118">
        <w:t>C</w:t>
      </w:r>
      <w:r w:rsidR="004C3FE8">
        <w:t>ollege.</w:t>
      </w:r>
      <w:r w:rsidR="00E954FE">
        <w:t xml:space="preserve"> </w:t>
      </w:r>
    </w:p>
    <w:p w14:paraId="754CCCC9" w14:textId="0C467707" w:rsidR="00D77638" w:rsidRPr="00661E54" w:rsidRDefault="00460BAE">
      <w:r w:rsidRPr="00661E54">
        <w:t>The standard effort expectation for full-time instructional faculty is eight units per academic year as assigned by the Departmental Executive Officer (DEO). Teaching a cours</w:t>
      </w:r>
      <w:r w:rsidR="004055D8">
        <w:t xml:space="preserve">e generally represents one unit.  Instructional faculty workloads must be predominantly dedicated to </w:t>
      </w:r>
      <w:proofErr w:type="gramStart"/>
      <w:r w:rsidR="004055D8">
        <w:t>teaching</w:t>
      </w:r>
      <w:proofErr w:type="gramEnd"/>
      <w:r w:rsidR="004055D8">
        <w:t xml:space="preserve"> but </w:t>
      </w:r>
      <w:r w:rsidRPr="00661E54">
        <w:t>other units may be associated with</w:t>
      </w:r>
      <w:r w:rsidR="00044890">
        <w:t xml:space="preserve"> the performance of important service</w:t>
      </w:r>
      <w:r w:rsidRPr="00661E54">
        <w:t xml:space="preserve"> related to </w:t>
      </w:r>
      <w:r w:rsidR="004055D8">
        <w:t xml:space="preserve">accreditation, </w:t>
      </w:r>
      <w:r w:rsidRPr="00661E54">
        <w:t>outreach, extracurricular activities, student advising, and other activities as assigned by the DEO.</w:t>
      </w:r>
      <w:r w:rsidR="00272118">
        <w:t xml:space="preserve">  </w:t>
      </w:r>
      <w:r w:rsidR="00B04924">
        <w:t xml:space="preserve">Instructional </w:t>
      </w:r>
      <w:r w:rsidR="00833842">
        <w:t>faculty members</w:t>
      </w:r>
      <w:r w:rsidR="00B04924">
        <w:t xml:space="preserve"> may also be expected to engage in professional productivity.  </w:t>
      </w:r>
      <w:r w:rsidR="00833842">
        <w:t>Professional productivity is, in general, creative work beyond teaching</w:t>
      </w:r>
      <w:r w:rsidR="00763FA0">
        <w:t xml:space="preserve">.  </w:t>
      </w:r>
      <w:r w:rsidR="00272118">
        <w:t xml:space="preserve">The workload </w:t>
      </w:r>
      <w:r w:rsidR="00246083">
        <w:t xml:space="preserve">expectation </w:t>
      </w:r>
      <w:r w:rsidR="00272118">
        <w:t>for the Instructional Faculty member shall be clearly specified in the instructional faculty member’s</w:t>
      </w:r>
      <w:r w:rsidR="00EC190A">
        <w:t xml:space="preserve"> individual employment contract.</w:t>
      </w:r>
    </w:p>
    <w:p w14:paraId="38E5E21F" w14:textId="4BEF762B" w:rsidR="00E954FE" w:rsidRDefault="00460BAE">
      <w:r w:rsidRPr="00661E54">
        <w:lastRenderedPageBreak/>
        <w:t xml:space="preserve">The College of Engineering adheres to the general criteria for appointment and promotion to all grades of academic rank as described by the UI Instructional Faculty Policy in the </w:t>
      </w:r>
      <w:r w:rsidR="00B54223">
        <w:t>Policy</w:t>
      </w:r>
      <w:r w:rsidR="00B54223" w:rsidRPr="00661E54">
        <w:t xml:space="preserve"> </w:t>
      </w:r>
      <w:r w:rsidRPr="00661E54">
        <w:t xml:space="preserve">Manual Section III. 10.11. </w:t>
      </w:r>
      <w:bookmarkStart w:id="8" w:name="_Ref460511636"/>
      <w:bookmarkEnd w:id="8"/>
      <w:r w:rsidR="003B3BBE">
        <w:t xml:space="preserve">All actions taken by the College regarding appointment, reappointment, promotion, non-reappointment, and termination of instructional faculty are subject to this policy. </w:t>
      </w:r>
      <w:r w:rsidR="00655088">
        <w:t>Further, the notification requirements and grievance procedures</w:t>
      </w:r>
      <w:r w:rsidR="006D1805">
        <w:t xml:space="preserve"> will be followed by the College. </w:t>
      </w:r>
    </w:p>
    <w:p w14:paraId="60F3907E" w14:textId="07E06BFD" w:rsidR="00D77638" w:rsidRDefault="00460BAE">
      <w:pPr>
        <w:rPr>
          <w:color w:val="FF0000"/>
        </w:rPr>
      </w:pPr>
      <w:r w:rsidRPr="00661E54">
        <w:t>This document provides further details on the criteria and procedures for instructional faculty appointments, evaluations, and promotions in the College of Engineering to the extent that they apply uniformly in all departments of the College.  It uses t</w:t>
      </w:r>
      <w:r w:rsidR="00BE5E99">
        <w:t xml:space="preserve">he structure and language from </w:t>
      </w:r>
      <w:r w:rsidRPr="00661E54">
        <w:t xml:space="preserve">the </w:t>
      </w:r>
      <w:r w:rsidRPr="00661E54">
        <w:rPr>
          <w:i/>
        </w:rPr>
        <w:t xml:space="preserve">Criteria and Procedures for </w:t>
      </w:r>
      <w:r w:rsidR="00162541">
        <w:rPr>
          <w:i/>
        </w:rPr>
        <w:t xml:space="preserve">Tenure </w:t>
      </w:r>
      <w:r w:rsidR="00F802A5">
        <w:rPr>
          <w:i/>
        </w:rPr>
        <w:t xml:space="preserve">Track </w:t>
      </w:r>
      <w:r w:rsidRPr="00661E54">
        <w:rPr>
          <w:i/>
        </w:rPr>
        <w:t>Faculty Appointments, Evaluations, and Promotions in the College of Engineering</w:t>
      </w:r>
      <w:bookmarkStart w:id="9" w:name="_Ref460502625"/>
      <w:bookmarkEnd w:id="9"/>
      <w:r w:rsidRPr="00661E54">
        <w:rPr>
          <w:i/>
        </w:rPr>
        <w:t>.</w:t>
      </w:r>
      <w:r w:rsidR="00E954FE">
        <w:rPr>
          <w:i/>
        </w:rPr>
        <w:t xml:space="preserve"> </w:t>
      </w:r>
      <w:r w:rsidRPr="00661E54">
        <w:t xml:space="preserve">Individual departments may or may not provide more detailed standards or criteria consistent with this document, and these, together with the College and University documents, will constitute the full set of standards and methods applicable in any individual case. </w:t>
      </w:r>
    </w:p>
    <w:p w14:paraId="55AF255A" w14:textId="77777777" w:rsidR="00F802A5" w:rsidRPr="00661E54" w:rsidRDefault="00F802A5"/>
    <w:p w14:paraId="7AFB2D1A" w14:textId="77777777" w:rsidR="00D77638" w:rsidRPr="00661E54" w:rsidRDefault="00460BAE">
      <w:pPr>
        <w:pStyle w:val="Heading1"/>
        <w:numPr>
          <w:ilvl w:val="0"/>
          <w:numId w:val="3"/>
        </w:numPr>
      </w:pPr>
      <w:bookmarkStart w:id="10" w:name="_Toc457908169"/>
      <w:bookmarkStart w:id="11" w:name="_Toc457908031"/>
      <w:bookmarkStart w:id="12" w:name="_Toc158832130"/>
      <w:bookmarkEnd w:id="10"/>
      <w:bookmarkEnd w:id="11"/>
      <w:r w:rsidRPr="00661E54">
        <w:t>Criteria for appointment at or promotion to specific academic ranks</w:t>
      </w:r>
      <w:bookmarkEnd w:id="12"/>
    </w:p>
    <w:p w14:paraId="10FE3DE7" w14:textId="7B0C3CF5" w:rsidR="00D77638" w:rsidRPr="00661E54" w:rsidRDefault="00460BAE">
      <w:r w:rsidRPr="00661E54">
        <w:t xml:space="preserve">The Operations Manual </w:t>
      </w:r>
      <w:r w:rsidR="00D35C3B">
        <w:t>outlines t</w:t>
      </w:r>
      <w:r w:rsidRPr="00661E54">
        <w:t>he qualifications for appointment at and the conditions for promotion to the ranks of</w:t>
      </w:r>
      <w:r w:rsidR="009A7B13" w:rsidRPr="009A7B13">
        <w:t xml:space="preserve"> </w:t>
      </w:r>
      <w:r w:rsidR="009A7B13">
        <w:t>Assistant Professor of Instruction/Practice,</w:t>
      </w:r>
      <w:r w:rsidR="00636A4A">
        <w:t xml:space="preserve"> </w:t>
      </w:r>
      <w:r w:rsidRPr="00661E54">
        <w:t>Assoc</w:t>
      </w:r>
      <w:r w:rsidR="002B3932">
        <w:t>iate Professor of Instruction/Practice, or Professor of Instruction/Practice.</w:t>
      </w:r>
      <w:r w:rsidR="000214D8">
        <w:t xml:space="preserve">  </w:t>
      </w:r>
      <w:r w:rsidR="008224DA">
        <w:t>The College of Engineering specifies these qualifications further as:</w:t>
      </w:r>
    </w:p>
    <w:p w14:paraId="04997959" w14:textId="0576B72C" w:rsidR="00D77638" w:rsidRPr="00EE7CBC" w:rsidRDefault="00273220">
      <w:pPr>
        <w:pStyle w:val="Heading2"/>
        <w:numPr>
          <w:ilvl w:val="1"/>
          <w:numId w:val="3"/>
        </w:numPr>
      </w:pPr>
      <w:bookmarkStart w:id="13" w:name="_Toc457908032"/>
      <w:bookmarkStart w:id="14" w:name="_Toc457908170"/>
      <w:bookmarkStart w:id="15" w:name="_Toc158832131"/>
      <w:bookmarkEnd w:id="13"/>
      <w:bookmarkEnd w:id="14"/>
      <w:r>
        <w:t>Assistant Professor of Instruction</w:t>
      </w:r>
      <w:bookmarkEnd w:id="15"/>
      <w:r w:rsidR="00C92003">
        <w:t xml:space="preserve"> </w:t>
      </w:r>
    </w:p>
    <w:p w14:paraId="5B61A878" w14:textId="323762ED" w:rsidR="007267E1" w:rsidRDefault="007267E1" w:rsidP="007267E1">
      <w:pPr>
        <w:pStyle w:val="Heading3"/>
        <w:numPr>
          <w:ilvl w:val="2"/>
          <w:numId w:val="3"/>
        </w:numPr>
        <w:ind w:hanging="270"/>
      </w:pPr>
      <w:r>
        <w:t xml:space="preserve">Earned </w:t>
      </w:r>
      <w:r w:rsidR="00086969">
        <w:t>d</w:t>
      </w:r>
      <w:r w:rsidRPr="00EE7CBC">
        <w:t>octorate in engineering or related discipline.</w:t>
      </w:r>
    </w:p>
    <w:p w14:paraId="0FEF7454" w14:textId="4A468789" w:rsidR="00B31903" w:rsidRPr="00B31903" w:rsidRDefault="00460BAE" w:rsidP="00B31903">
      <w:pPr>
        <w:pStyle w:val="Heading3"/>
        <w:numPr>
          <w:ilvl w:val="2"/>
          <w:numId w:val="3"/>
        </w:numPr>
        <w:tabs>
          <w:tab w:val="left" w:pos="1350"/>
        </w:tabs>
        <w:ind w:hanging="288"/>
      </w:pPr>
      <w:r w:rsidRPr="00EE7CBC">
        <w:t xml:space="preserve">Promise of ability as a teacher. </w:t>
      </w:r>
    </w:p>
    <w:p w14:paraId="061CB14F" w14:textId="59146020" w:rsidR="00B31903" w:rsidRPr="007267E1" w:rsidRDefault="004A1021" w:rsidP="007267E1">
      <w:pPr>
        <w:ind w:left="1170" w:hanging="450"/>
      </w:pPr>
      <w:r w:rsidRPr="007267E1">
        <w:rPr>
          <w:rFonts w:eastAsia="Times New Roman" w:cs="Times New Roman"/>
        </w:rPr>
        <w:t xml:space="preserve">       </w:t>
      </w:r>
      <w:r w:rsidR="00B31903" w:rsidRPr="007267E1">
        <w:rPr>
          <w:rFonts w:eastAsia="Times New Roman" w:cs="Times New Roman"/>
        </w:rPr>
        <w:t xml:space="preserve">3. Evidence of potential to contribute to </w:t>
      </w:r>
      <w:r w:rsidR="00A55E55" w:rsidRPr="007267E1">
        <w:rPr>
          <w:rFonts w:eastAsia="Times New Roman" w:cs="Times New Roman"/>
        </w:rPr>
        <w:t xml:space="preserve">professional, </w:t>
      </w:r>
      <w:proofErr w:type="gramStart"/>
      <w:r w:rsidR="00B31903" w:rsidRPr="007267E1">
        <w:rPr>
          <w:rFonts w:eastAsia="Times New Roman" w:cs="Times New Roman"/>
        </w:rPr>
        <w:t>departmental</w:t>
      </w:r>
      <w:proofErr w:type="gramEnd"/>
      <w:r w:rsidR="00B31903" w:rsidRPr="007267E1">
        <w:rPr>
          <w:rFonts w:eastAsia="Times New Roman" w:cs="Times New Roman"/>
        </w:rPr>
        <w:t xml:space="preserve"> and collegiate service</w:t>
      </w:r>
      <w:r w:rsidRPr="007267E1">
        <w:rPr>
          <w:rFonts w:eastAsia="Times New Roman" w:cs="Times New Roman"/>
        </w:rPr>
        <w:t>.</w:t>
      </w:r>
    </w:p>
    <w:p w14:paraId="3BCFA0AD" w14:textId="6DBBB322" w:rsidR="003739B0" w:rsidRPr="00CD6DBE" w:rsidRDefault="00B31903" w:rsidP="000E042B">
      <w:pPr>
        <w:ind w:left="1170" w:firstLine="0"/>
      </w:pPr>
      <w:r>
        <w:t>4</w:t>
      </w:r>
      <w:r w:rsidR="000E042B">
        <w:t xml:space="preserve">. </w:t>
      </w:r>
      <w:r w:rsidR="00FD1B30" w:rsidRPr="00EE7CBC">
        <w:t xml:space="preserve">Initial and subsequent </w:t>
      </w:r>
      <w:r w:rsidR="00CE12DA" w:rsidRPr="00EE7CBC">
        <w:t xml:space="preserve">appointments </w:t>
      </w:r>
      <w:r w:rsidR="00FD1B30" w:rsidRPr="00EE7CBC">
        <w:t>shall be for a minimum term of one year and will not exceed three years</w:t>
      </w:r>
      <w:r w:rsidR="007267E1">
        <w:t xml:space="preserve">. </w:t>
      </w:r>
      <w:r w:rsidR="00264960">
        <w:t>An Assistant Professor of Instruction</w:t>
      </w:r>
      <w:r w:rsidR="00074344">
        <w:t xml:space="preserve"> may remain at the rank </w:t>
      </w:r>
      <w:proofErr w:type="gramStart"/>
      <w:r w:rsidR="00074344">
        <w:t>indefinitely, unless</w:t>
      </w:r>
      <w:proofErr w:type="gramEnd"/>
      <w:r w:rsidR="00074344">
        <w:t xml:space="preserve"> they seek promotion to the ran</w:t>
      </w:r>
      <w:r w:rsidR="00CA58DA">
        <w:t>k</w:t>
      </w:r>
      <w:r w:rsidR="00074344">
        <w:t xml:space="preserve"> of Associate Professor of Instruction.</w:t>
      </w:r>
    </w:p>
    <w:p w14:paraId="3C3416FD" w14:textId="3934F48E" w:rsidR="00D77638" w:rsidRPr="00661E54" w:rsidRDefault="00460BAE" w:rsidP="00FA306C">
      <w:pPr>
        <w:pStyle w:val="Heading2"/>
        <w:numPr>
          <w:ilvl w:val="1"/>
          <w:numId w:val="3"/>
        </w:numPr>
      </w:pPr>
      <w:bookmarkStart w:id="16" w:name="_Toc457908033"/>
      <w:bookmarkStart w:id="17" w:name="_Toc457908171"/>
      <w:bookmarkStart w:id="18" w:name="_Toc158832132"/>
      <w:r w:rsidRPr="00661E54">
        <w:t>Associate Professor of Instruction</w:t>
      </w:r>
      <w:bookmarkEnd w:id="16"/>
      <w:bookmarkEnd w:id="17"/>
      <w:bookmarkEnd w:id="18"/>
      <w:r w:rsidRPr="00661E54">
        <w:tab/>
      </w:r>
    </w:p>
    <w:p w14:paraId="3562C7D2" w14:textId="495DBAC7" w:rsidR="00D77638" w:rsidRPr="00661E54" w:rsidRDefault="007267E1">
      <w:pPr>
        <w:pStyle w:val="Heading3"/>
        <w:numPr>
          <w:ilvl w:val="2"/>
          <w:numId w:val="3"/>
        </w:numPr>
        <w:ind w:hanging="288"/>
      </w:pPr>
      <w:r>
        <w:t xml:space="preserve">Earned </w:t>
      </w:r>
      <w:r w:rsidR="00086969">
        <w:t>d</w:t>
      </w:r>
      <w:r w:rsidR="00460BAE" w:rsidRPr="00661E54">
        <w:t>octorate in engineering or related discipline</w:t>
      </w:r>
      <w:r w:rsidR="00767C89">
        <w:t>.</w:t>
      </w:r>
    </w:p>
    <w:p w14:paraId="299889F3" w14:textId="77777777" w:rsidR="00D77638" w:rsidRPr="00661E54" w:rsidRDefault="00460BAE">
      <w:pPr>
        <w:pStyle w:val="Heading3"/>
        <w:numPr>
          <w:ilvl w:val="2"/>
          <w:numId w:val="3"/>
        </w:numPr>
        <w:ind w:hanging="288"/>
      </w:pPr>
      <w:r w:rsidRPr="00661E54">
        <w:t>Convincing evidence of excellence in teaching</w:t>
      </w:r>
    </w:p>
    <w:p w14:paraId="5BF0EDC4" w14:textId="6DE123A6" w:rsidR="00D77638" w:rsidRPr="00661E54" w:rsidRDefault="003D6EEA">
      <w:pPr>
        <w:pStyle w:val="Heading3"/>
        <w:numPr>
          <w:ilvl w:val="2"/>
          <w:numId w:val="3"/>
        </w:numPr>
        <w:ind w:hanging="288"/>
      </w:pPr>
      <w:r>
        <w:t>Clear potential to enhance</w:t>
      </w:r>
      <w:r w:rsidR="00460BAE" w:rsidRPr="00661E54">
        <w:t xml:space="preserve"> the teaching mission of the department through contributions such as: curricular advances; innovative teaching methods; </w:t>
      </w:r>
      <w:r w:rsidR="00460BAE" w:rsidRPr="00661E54">
        <w:lastRenderedPageBreak/>
        <w:t>development of collabo</w:t>
      </w:r>
      <w:r w:rsidR="007420E8">
        <w:t>r</w:t>
      </w:r>
      <w:r w:rsidR="00460BAE" w:rsidRPr="00661E54">
        <w:t>ative educational opportunities across the University; creation of new extracurricular learning opportunities, etc.</w:t>
      </w:r>
    </w:p>
    <w:p w14:paraId="0B44B422" w14:textId="66CBE275" w:rsidR="00405E8C" w:rsidRDefault="00405E8C" w:rsidP="00405E8C">
      <w:pPr>
        <w:pStyle w:val="Heading3"/>
        <w:numPr>
          <w:ilvl w:val="2"/>
          <w:numId w:val="3"/>
        </w:numPr>
        <w:ind w:hanging="288"/>
      </w:pPr>
      <w:r w:rsidRPr="00661E54">
        <w:t xml:space="preserve">Professional, </w:t>
      </w:r>
      <w:r>
        <w:t>departmental, collegiate, or</w:t>
      </w:r>
      <w:r w:rsidRPr="00661E54">
        <w:t xml:space="preserve"> University service at an appropriate level.</w:t>
      </w:r>
    </w:p>
    <w:p w14:paraId="4639B4F4" w14:textId="63DB32F6" w:rsidR="00405E8C" w:rsidRDefault="00405E8C" w:rsidP="00405E8C">
      <w:pPr>
        <w:pStyle w:val="Heading3"/>
        <w:numPr>
          <w:ilvl w:val="2"/>
          <w:numId w:val="3"/>
        </w:numPr>
        <w:ind w:hanging="288"/>
      </w:pPr>
      <w:r>
        <w:t>Initial (probationary) appointment at the rank of Associate Professor of Instruction shall be for a term of one to three years.  If the faculty member has previously served a term at the rank of Assistant Professor of Instruction, this paragraph shall not apply.</w:t>
      </w:r>
      <w:r w:rsidRPr="00405E8C">
        <w:t xml:space="preserve"> </w:t>
      </w:r>
    </w:p>
    <w:p w14:paraId="3BD6D914" w14:textId="7714180A" w:rsidR="00405E8C" w:rsidRDefault="00405E8C" w:rsidP="00405E8C">
      <w:pPr>
        <w:pStyle w:val="Heading3"/>
        <w:numPr>
          <w:ilvl w:val="2"/>
          <w:numId w:val="3"/>
        </w:numPr>
        <w:ind w:hanging="288"/>
      </w:pPr>
      <w:r>
        <w:t xml:space="preserve">Subsequent appointments at the rank of Associate Professor of Instruction </w:t>
      </w:r>
      <w:r w:rsidRPr="00FA306C">
        <w:t xml:space="preserve">(or the initial appointment if the faculty member was promoted from the rank of </w:t>
      </w:r>
      <w:r>
        <w:t>Assistant Professor of Instruction</w:t>
      </w:r>
      <w:r w:rsidRPr="00FA306C">
        <w:t>)</w:t>
      </w:r>
      <w:r>
        <w:t xml:space="preserve"> shall be for a term of three to five years.</w:t>
      </w:r>
    </w:p>
    <w:p w14:paraId="2C98B942" w14:textId="77777777" w:rsidR="00D77638" w:rsidRPr="00661E54" w:rsidRDefault="00460BAE">
      <w:pPr>
        <w:pStyle w:val="Heading2"/>
        <w:numPr>
          <w:ilvl w:val="1"/>
          <w:numId w:val="3"/>
        </w:numPr>
      </w:pPr>
      <w:bookmarkStart w:id="19" w:name="_Toc457908173"/>
      <w:bookmarkStart w:id="20" w:name="_Toc457908035"/>
      <w:bookmarkStart w:id="21" w:name="_Toc158832133"/>
      <w:bookmarkEnd w:id="19"/>
      <w:bookmarkEnd w:id="20"/>
      <w:r w:rsidRPr="00661E54">
        <w:t>Professor of Instruction</w:t>
      </w:r>
      <w:bookmarkEnd w:id="21"/>
    </w:p>
    <w:p w14:paraId="7A07F104" w14:textId="51F75B27" w:rsidR="00D77638" w:rsidRPr="00661E54" w:rsidRDefault="00405E8C">
      <w:pPr>
        <w:pStyle w:val="Heading3"/>
        <w:numPr>
          <w:ilvl w:val="2"/>
          <w:numId w:val="3"/>
        </w:numPr>
        <w:ind w:hanging="288"/>
      </w:pPr>
      <w:r>
        <w:t xml:space="preserve">Earned </w:t>
      </w:r>
      <w:r w:rsidR="00776FBC">
        <w:t>d</w:t>
      </w:r>
      <w:r w:rsidRPr="00661E54">
        <w:t>octorate</w:t>
      </w:r>
      <w:r w:rsidR="00460BAE" w:rsidRPr="00661E54">
        <w:t xml:space="preserve"> in engineering or related discipline</w:t>
      </w:r>
      <w:r w:rsidR="00EF690F">
        <w:t>.</w:t>
      </w:r>
    </w:p>
    <w:p w14:paraId="1DB610B4" w14:textId="77777777" w:rsidR="00D77638" w:rsidRPr="00661E54" w:rsidRDefault="00460BAE">
      <w:pPr>
        <w:pStyle w:val="Heading3"/>
        <w:numPr>
          <w:ilvl w:val="2"/>
          <w:numId w:val="3"/>
        </w:numPr>
        <w:ind w:hanging="288"/>
      </w:pPr>
      <w:r w:rsidRPr="00661E54">
        <w:t>Consistent record of high-quality teaching at all appropriate instructional levels.</w:t>
      </w:r>
    </w:p>
    <w:p w14:paraId="6CAB92BE" w14:textId="77777777" w:rsidR="00D77638" w:rsidRPr="00661E54" w:rsidRDefault="00460BAE">
      <w:pPr>
        <w:pStyle w:val="Heading3"/>
        <w:numPr>
          <w:ilvl w:val="2"/>
          <w:numId w:val="3"/>
        </w:numPr>
        <w:ind w:hanging="288"/>
      </w:pPr>
      <w:r w:rsidRPr="00661E54">
        <w:t>A clear record of enhancing the teaching mission of the department through contributions such as: curricular advances; innovative teaching methods; development of collaborative educational opportunities across the University; creation of new extracurricular learning opportunities, etc.</w:t>
      </w:r>
    </w:p>
    <w:p w14:paraId="2434A52E" w14:textId="35B337C3" w:rsidR="00405E8C" w:rsidRDefault="00405E8C">
      <w:pPr>
        <w:pStyle w:val="Heading3"/>
        <w:numPr>
          <w:ilvl w:val="2"/>
          <w:numId w:val="3"/>
        </w:numPr>
        <w:ind w:hanging="288"/>
      </w:pPr>
      <w:r w:rsidRPr="00661E54">
        <w:t xml:space="preserve">Record of significant and effective service to the profession, department, college, </w:t>
      </w:r>
      <w:r>
        <w:t>or</w:t>
      </w:r>
      <w:r w:rsidRPr="00661E54">
        <w:t xml:space="preserve"> the University.</w:t>
      </w:r>
    </w:p>
    <w:p w14:paraId="4F782179" w14:textId="5FD3ADEE" w:rsidR="00405E8C" w:rsidRDefault="00405E8C">
      <w:pPr>
        <w:pStyle w:val="Heading3"/>
        <w:numPr>
          <w:ilvl w:val="2"/>
          <w:numId w:val="3"/>
        </w:numPr>
        <w:ind w:hanging="288"/>
      </w:pPr>
      <w:r>
        <w:t>Initial (probationary) appointment at the rank of Professor of Instruction shall be for a term of one to three years.  If the faculty member has previously served a term at the rank of Assistant Professor of Instruction or Associate Professor of Instruction or equivalent, this paragraph shall not apply.</w:t>
      </w:r>
    </w:p>
    <w:p w14:paraId="0D297C90" w14:textId="39EB913C" w:rsidR="00D77638" w:rsidRPr="00661E54" w:rsidRDefault="00405E8C">
      <w:pPr>
        <w:pStyle w:val="Heading3"/>
        <w:numPr>
          <w:ilvl w:val="2"/>
          <w:numId w:val="3"/>
        </w:numPr>
        <w:ind w:hanging="288"/>
      </w:pPr>
      <w:r>
        <w:t xml:space="preserve">Subsequent appointments at the rank of Professor of Instruction (or the initial </w:t>
      </w:r>
      <w:proofErr w:type="gramStart"/>
      <w:r>
        <w:t>appointment, if</w:t>
      </w:r>
      <w:proofErr w:type="gramEnd"/>
      <w:r>
        <w:t xml:space="preserve"> the faculty member was promoted from the rank of Assistant Professor of Instruction or Associate Professor of Instruction) shall be for a term of three to five years.</w:t>
      </w:r>
    </w:p>
    <w:p w14:paraId="46C17822" w14:textId="7E929309" w:rsidR="003E1430" w:rsidRPr="00EE7CBC" w:rsidRDefault="003E1430" w:rsidP="003E1430">
      <w:pPr>
        <w:pStyle w:val="Heading2"/>
        <w:numPr>
          <w:ilvl w:val="1"/>
          <w:numId w:val="3"/>
        </w:numPr>
      </w:pPr>
      <w:bookmarkStart w:id="22" w:name="_Toc158832134"/>
      <w:r>
        <w:t>Assistant Professor of Practice</w:t>
      </w:r>
      <w:bookmarkEnd w:id="22"/>
    </w:p>
    <w:p w14:paraId="7D319927" w14:textId="4065C533" w:rsidR="003E1430" w:rsidRPr="003E1430" w:rsidRDefault="0039614D" w:rsidP="00405E8C">
      <w:pPr>
        <w:pStyle w:val="Heading3"/>
        <w:numPr>
          <w:ilvl w:val="2"/>
          <w:numId w:val="3"/>
        </w:numPr>
        <w:ind w:hanging="288"/>
      </w:pPr>
      <w:r>
        <w:t>Professional experience indicative of expertise and p</w:t>
      </w:r>
      <w:r w:rsidRPr="00EE7CBC">
        <w:t>romise of ability as a teache</w:t>
      </w:r>
      <w:r>
        <w:t>r</w:t>
      </w:r>
      <w:r w:rsidR="00FA01E1">
        <w:t>.</w:t>
      </w:r>
    </w:p>
    <w:p w14:paraId="75C27E1A" w14:textId="77777777" w:rsidR="00412283" w:rsidRDefault="00020F2D" w:rsidP="007B12C4">
      <w:pPr>
        <w:pStyle w:val="Heading3"/>
        <w:numPr>
          <w:ilvl w:val="2"/>
          <w:numId w:val="3"/>
        </w:numPr>
        <w:tabs>
          <w:tab w:val="left" w:pos="1440"/>
        </w:tabs>
        <w:ind w:left="1170"/>
      </w:pPr>
      <w:r>
        <w:t>Earned d</w:t>
      </w:r>
      <w:r w:rsidR="003E1430" w:rsidRPr="00EE7CBC">
        <w:t xml:space="preserve">octorate in engineering or </w:t>
      </w:r>
      <w:r w:rsidR="00412283">
        <w:t>other educational qualifications appropriate to the position.</w:t>
      </w:r>
    </w:p>
    <w:p w14:paraId="63F2B518" w14:textId="50EB810C" w:rsidR="007B12C4" w:rsidRPr="00F46544" w:rsidRDefault="003E1430" w:rsidP="007B12C4">
      <w:pPr>
        <w:pStyle w:val="Heading3"/>
        <w:numPr>
          <w:ilvl w:val="2"/>
          <w:numId w:val="3"/>
        </w:numPr>
        <w:tabs>
          <w:tab w:val="left" w:pos="1440"/>
        </w:tabs>
        <w:ind w:left="1170"/>
      </w:pPr>
      <w:r w:rsidRPr="00EE7CBC">
        <w:t xml:space="preserve">Initial and subsequent appointments at the rank of </w:t>
      </w:r>
      <w:r>
        <w:t>Assistant Professor of Practice</w:t>
      </w:r>
      <w:r w:rsidRPr="00EE7CBC">
        <w:t xml:space="preserve"> shall be for a minimum term of one year and will not exceed three years</w:t>
      </w:r>
      <w:r w:rsidRPr="00412283">
        <w:rPr>
          <w:strike/>
        </w:rPr>
        <w:t>.</w:t>
      </w:r>
      <w:r w:rsidR="007B12C4" w:rsidRPr="007B12C4">
        <w:t xml:space="preserve"> </w:t>
      </w:r>
      <w:r w:rsidR="007B12C4" w:rsidRPr="00F46544">
        <w:t>The</w:t>
      </w:r>
      <w:r w:rsidR="007B12C4">
        <w:t xml:space="preserve">y may </w:t>
      </w:r>
      <w:r w:rsidR="007B12C4">
        <w:lastRenderedPageBreak/>
        <w:t xml:space="preserve">remain at the rank </w:t>
      </w:r>
      <w:proofErr w:type="gramStart"/>
      <w:r w:rsidR="007B12C4">
        <w:t>indefinitely, unless</w:t>
      </w:r>
      <w:proofErr w:type="gramEnd"/>
      <w:r w:rsidR="007B12C4">
        <w:t xml:space="preserve"> they seek promotion to the rank of Associate Professor of Instruction.</w:t>
      </w:r>
    </w:p>
    <w:p w14:paraId="1E10C210" w14:textId="311BA006" w:rsidR="004A2496" w:rsidRPr="00661E54" w:rsidRDefault="004A2496" w:rsidP="004A2496">
      <w:pPr>
        <w:pStyle w:val="Heading2"/>
        <w:numPr>
          <w:ilvl w:val="1"/>
          <w:numId w:val="3"/>
        </w:numPr>
      </w:pPr>
      <w:bookmarkStart w:id="23" w:name="_Toc158832135"/>
      <w:r>
        <w:t>Associate Professor of Practice</w:t>
      </w:r>
      <w:bookmarkEnd w:id="23"/>
    </w:p>
    <w:p w14:paraId="45038E97" w14:textId="3795639D" w:rsidR="003F5BBA" w:rsidRDefault="00405E8C" w:rsidP="003F5BBA">
      <w:pPr>
        <w:pStyle w:val="Heading3"/>
        <w:numPr>
          <w:ilvl w:val="2"/>
          <w:numId w:val="3"/>
        </w:numPr>
        <w:tabs>
          <w:tab w:val="left" w:pos="1440"/>
        </w:tabs>
        <w:ind w:left="1170"/>
      </w:pPr>
      <w:r>
        <w:t>S</w:t>
      </w:r>
      <w:r w:rsidR="004117D0">
        <w:t>ubstantial professional experience indicative of expertise and teaching ability within the designated area(s) of instruction.</w:t>
      </w:r>
      <w:r w:rsidR="003F5BBA">
        <w:t xml:space="preserve"> </w:t>
      </w:r>
    </w:p>
    <w:p w14:paraId="1AE7AB52" w14:textId="2AE40ACB" w:rsidR="003F5BBA" w:rsidRDefault="003F5BBA" w:rsidP="003F5BBA">
      <w:pPr>
        <w:pStyle w:val="Heading3"/>
        <w:numPr>
          <w:ilvl w:val="2"/>
          <w:numId w:val="3"/>
        </w:numPr>
        <w:tabs>
          <w:tab w:val="left" w:pos="1440"/>
        </w:tabs>
        <w:ind w:left="1170"/>
      </w:pPr>
      <w:r>
        <w:t xml:space="preserve">Earned </w:t>
      </w:r>
      <w:r w:rsidR="00086969">
        <w:t>d</w:t>
      </w:r>
      <w:r w:rsidRPr="00EE7CBC">
        <w:t xml:space="preserve">octorate in engineering or </w:t>
      </w:r>
      <w:r>
        <w:t>other educational qualifications appropriate to the position.</w:t>
      </w:r>
    </w:p>
    <w:p w14:paraId="653394FC" w14:textId="15AD0812" w:rsidR="004A2496" w:rsidRPr="00661E54" w:rsidRDefault="00733AFC" w:rsidP="004A2496">
      <w:pPr>
        <w:pStyle w:val="Heading3"/>
        <w:numPr>
          <w:ilvl w:val="2"/>
          <w:numId w:val="3"/>
        </w:numPr>
        <w:ind w:hanging="288"/>
      </w:pPr>
      <w:r>
        <w:t xml:space="preserve">Convincing evidence of excellence in teaching. </w:t>
      </w:r>
    </w:p>
    <w:p w14:paraId="06E77492" w14:textId="7F3A70EE" w:rsidR="004A2496" w:rsidRPr="00661E54" w:rsidRDefault="006F3973" w:rsidP="004A2496">
      <w:pPr>
        <w:pStyle w:val="Heading3"/>
        <w:numPr>
          <w:ilvl w:val="2"/>
          <w:numId w:val="3"/>
        </w:numPr>
        <w:ind w:hanging="288"/>
      </w:pPr>
      <w:r>
        <w:t>Clear potential to enhance the teaching mission of the department through contributions such as:  curricular advances; innovative teaching methods; development of collaborative educational opportunities across the University; creation of new extracurricular learning opportunities; etc.</w:t>
      </w:r>
    </w:p>
    <w:p w14:paraId="056922D1" w14:textId="425A3A41" w:rsidR="00405E8C" w:rsidRDefault="00405E8C" w:rsidP="004A2496">
      <w:pPr>
        <w:pStyle w:val="Heading3"/>
        <w:numPr>
          <w:ilvl w:val="2"/>
          <w:numId w:val="3"/>
        </w:numPr>
        <w:ind w:hanging="288"/>
      </w:pPr>
      <w:r>
        <w:t>Professional, departmental, collegiate, or University service at an appropriate level.</w:t>
      </w:r>
    </w:p>
    <w:p w14:paraId="33B61C7B" w14:textId="243CF14A" w:rsidR="00405E8C" w:rsidRDefault="00405E8C" w:rsidP="004A2496">
      <w:pPr>
        <w:pStyle w:val="Heading3"/>
        <w:numPr>
          <w:ilvl w:val="2"/>
          <w:numId w:val="3"/>
        </w:numPr>
        <w:ind w:hanging="288"/>
      </w:pPr>
      <w:r>
        <w:t>Initial (probationary) appointment at the rank of Associate Professor of Practice shall be for a term of one to three years.</w:t>
      </w:r>
    </w:p>
    <w:p w14:paraId="71B0AE84" w14:textId="5EF34B1C" w:rsidR="004A2496" w:rsidRDefault="00405E8C" w:rsidP="00405E8C">
      <w:pPr>
        <w:pStyle w:val="Heading3"/>
        <w:numPr>
          <w:ilvl w:val="2"/>
          <w:numId w:val="3"/>
        </w:numPr>
        <w:ind w:hanging="288"/>
      </w:pPr>
      <w:r>
        <w:t>Subsequent appointments at the rank of Associate Professor of Practice shall be for a term of three to five years.</w:t>
      </w:r>
    </w:p>
    <w:p w14:paraId="1A114D89" w14:textId="74039B46" w:rsidR="00727A40" w:rsidRPr="00661E54" w:rsidRDefault="00727A40" w:rsidP="00727A40">
      <w:pPr>
        <w:pStyle w:val="Heading2"/>
        <w:numPr>
          <w:ilvl w:val="1"/>
          <w:numId w:val="3"/>
        </w:numPr>
      </w:pPr>
      <w:bookmarkStart w:id="24" w:name="_Toc158832136"/>
      <w:r>
        <w:t>Professor of Practice</w:t>
      </w:r>
      <w:bookmarkEnd w:id="24"/>
    </w:p>
    <w:p w14:paraId="19C19047" w14:textId="2A749415" w:rsidR="0027758C" w:rsidRDefault="0027758C" w:rsidP="0027758C">
      <w:pPr>
        <w:pStyle w:val="Heading3"/>
        <w:numPr>
          <w:ilvl w:val="2"/>
          <w:numId w:val="3"/>
        </w:numPr>
        <w:tabs>
          <w:tab w:val="left" w:pos="1440"/>
        </w:tabs>
        <w:ind w:left="1170"/>
      </w:pPr>
      <w:r>
        <w:t>S</w:t>
      </w:r>
      <w:r w:rsidR="002A544D">
        <w:t xml:space="preserve">ubstantial </w:t>
      </w:r>
      <w:r w:rsidR="00727A40">
        <w:t>professional experience indicative of expertise and teaching ability within the designated area(s) of instruction.</w:t>
      </w:r>
      <w:r>
        <w:t xml:space="preserve"> </w:t>
      </w:r>
    </w:p>
    <w:p w14:paraId="24D853B8" w14:textId="3B55C5F6" w:rsidR="00727A40" w:rsidRPr="00661E54" w:rsidRDefault="0027758C" w:rsidP="00405E8C">
      <w:pPr>
        <w:pStyle w:val="Heading3"/>
        <w:numPr>
          <w:ilvl w:val="2"/>
          <w:numId w:val="3"/>
        </w:numPr>
        <w:tabs>
          <w:tab w:val="left" w:pos="1440"/>
        </w:tabs>
        <w:ind w:left="1170"/>
      </w:pPr>
      <w:r>
        <w:t xml:space="preserve">Earned </w:t>
      </w:r>
      <w:r w:rsidR="004664B3">
        <w:t>d</w:t>
      </w:r>
      <w:r w:rsidRPr="00EE7CBC">
        <w:t xml:space="preserve">octorate in engineering or </w:t>
      </w:r>
      <w:r>
        <w:t>other educational qualifications appropriate to the position.</w:t>
      </w:r>
    </w:p>
    <w:p w14:paraId="03AECF6C" w14:textId="068610BA" w:rsidR="00727A40" w:rsidRPr="00661E54" w:rsidRDefault="003D6EEA" w:rsidP="00727A40">
      <w:pPr>
        <w:pStyle w:val="Heading3"/>
        <w:numPr>
          <w:ilvl w:val="2"/>
          <w:numId w:val="3"/>
        </w:numPr>
        <w:ind w:hanging="288"/>
      </w:pPr>
      <w:r>
        <w:t>A clear record of enhancing</w:t>
      </w:r>
      <w:r w:rsidR="00727A40">
        <w:t xml:space="preserve"> the teaching mission of the department through contributions such as:  curricular advances; innovative teaching methods; development of collaborative educational opportunities across the University; creation of new extracurricular learning opportunities; etc.</w:t>
      </w:r>
    </w:p>
    <w:p w14:paraId="5BE804DC" w14:textId="7D017DD7" w:rsidR="00405E8C" w:rsidRDefault="00405E8C" w:rsidP="00405E8C">
      <w:pPr>
        <w:pStyle w:val="Heading3"/>
        <w:numPr>
          <w:ilvl w:val="2"/>
          <w:numId w:val="3"/>
        </w:numPr>
        <w:ind w:hanging="288"/>
      </w:pPr>
      <w:r>
        <w:t>Record of significant and effective service to the profession, department, college, or the University.</w:t>
      </w:r>
    </w:p>
    <w:p w14:paraId="38CBC3FF" w14:textId="72D714A7" w:rsidR="00405E8C" w:rsidRDefault="00405E8C" w:rsidP="00405E8C">
      <w:pPr>
        <w:pStyle w:val="Heading3"/>
        <w:numPr>
          <w:ilvl w:val="2"/>
          <w:numId w:val="3"/>
        </w:numPr>
        <w:ind w:hanging="288"/>
      </w:pPr>
      <w:r>
        <w:t>Initial (probationary) appointment at the rank of Professor of Practice shall be for a term of one to three years.  If the faculty member has previously served a term at the rank of Associate Professor of Practice or equivalent, this paragraph shall not apply.</w:t>
      </w:r>
    </w:p>
    <w:p w14:paraId="2AF6BA85" w14:textId="1E0CB19E" w:rsidR="00405E8C" w:rsidRPr="00405E8C" w:rsidRDefault="00405E8C" w:rsidP="00405E8C">
      <w:pPr>
        <w:pStyle w:val="Heading3"/>
        <w:numPr>
          <w:ilvl w:val="2"/>
          <w:numId w:val="3"/>
        </w:numPr>
        <w:ind w:hanging="288"/>
      </w:pPr>
      <w:r>
        <w:t xml:space="preserve">Subsequent appointments at the rank of Professor of Practice (or the initial </w:t>
      </w:r>
      <w:proofErr w:type="gramStart"/>
      <w:r>
        <w:lastRenderedPageBreak/>
        <w:t>appointment, if</w:t>
      </w:r>
      <w:proofErr w:type="gramEnd"/>
      <w:r>
        <w:t xml:space="preserve"> the faculty member was promoted from the rank of Associate Professor of Practice) shall be for a term of three to five years.</w:t>
      </w:r>
    </w:p>
    <w:p w14:paraId="462A1DE1" w14:textId="3C0BD66F" w:rsidR="00D77638" w:rsidRDefault="001A1738" w:rsidP="00155AB3">
      <w:pPr>
        <w:rPr>
          <w:b/>
        </w:rPr>
      </w:pPr>
      <w:bookmarkStart w:id="25" w:name="_Toc480277977"/>
      <w:bookmarkStart w:id="26" w:name="_Toc480563293"/>
      <w:r w:rsidRPr="001A1738">
        <w:t>All inst</w:t>
      </w:r>
      <w:r>
        <w:t xml:space="preserve">ructional faculty appointments shall terminate at the end of the </w:t>
      </w:r>
      <w:r w:rsidR="00A20C4C">
        <w:t xml:space="preserve">contract period, but reappointment </w:t>
      </w:r>
      <w:r w:rsidR="00E04717">
        <w:t xml:space="preserve">is possible at the discretion </w:t>
      </w:r>
      <w:r w:rsidR="00153113">
        <w:t>of</w:t>
      </w:r>
      <w:r w:rsidR="00A20C4C">
        <w:t xml:space="preserve"> the College of Engineering.</w:t>
      </w:r>
      <w:r w:rsidR="007379EE">
        <w:t xml:space="preserve">  Decisions not to renew, not to promote, or to </w:t>
      </w:r>
      <w:r w:rsidR="000E5CE5">
        <w:t xml:space="preserve">terminate instructional faculty may only occur </w:t>
      </w:r>
      <w:r w:rsidR="00B17B72">
        <w:t xml:space="preserve">as described in the </w:t>
      </w:r>
      <w:r w:rsidR="00DE3670">
        <w:t>University Operations Manual III-10.11g.</w:t>
      </w:r>
      <w:bookmarkEnd w:id="25"/>
      <w:bookmarkEnd w:id="26"/>
      <w:r w:rsidR="00A20C4C">
        <w:t xml:space="preserve">  </w:t>
      </w:r>
    </w:p>
    <w:p w14:paraId="67F96E88" w14:textId="77777777" w:rsidR="00F53539" w:rsidRPr="00F53539" w:rsidRDefault="00F53539" w:rsidP="00F53539"/>
    <w:p w14:paraId="58C92CEF" w14:textId="3A5A3E09" w:rsidR="00D77638" w:rsidRPr="00661E54" w:rsidRDefault="00460BAE" w:rsidP="000C1A6C">
      <w:pPr>
        <w:pStyle w:val="Heading1"/>
        <w:numPr>
          <w:ilvl w:val="0"/>
          <w:numId w:val="3"/>
        </w:numPr>
        <w:ind w:firstLine="450"/>
        <w:jc w:val="left"/>
      </w:pPr>
      <w:bookmarkStart w:id="27" w:name="_Toc457908038"/>
      <w:bookmarkStart w:id="28" w:name="_Toc457908176"/>
      <w:bookmarkStart w:id="29" w:name="_Toc158832137"/>
      <w:r w:rsidRPr="00661E54">
        <w:t>Elements of instructional faculty evaluations</w:t>
      </w:r>
      <w:bookmarkEnd w:id="27"/>
      <w:bookmarkEnd w:id="28"/>
      <w:bookmarkEnd w:id="29"/>
    </w:p>
    <w:p w14:paraId="38CDB1C1" w14:textId="77777777" w:rsidR="00D77638" w:rsidRPr="00661E54" w:rsidRDefault="00460BAE">
      <w:r w:rsidRPr="00661E54">
        <w:t xml:space="preserve">Evaluations of the performance of instructional faculty members are of two types. </w:t>
      </w:r>
    </w:p>
    <w:p w14:paraId="4629064A" w14:textId="77777777" w:rsidR="00D77638" w:rsidRPr="00661E54" w:rsidRDefault="00460BAE">
      <w:pPr>
        <w:pStyle w:val="Heading3"/>
        <w:numPr>
          <w:ilvl w:val="2"/>
          <w:numId w:val="3"/>
        </w:numPr>
        <w:ind w:hanging="288"/>
      </w:pPr>
      <w:r w:rsidRPr="00661E54">
        <w:rPr>
          <w:u w:val="single"/>
        </w:rPr>
        <w:t>Annual evaluations</w:t>
      </w:r>
      <w:r w:rsidRPr="00661E54">
        <w:t xml:space="preserve"> by the Department Executive Officer of all faculty performed for the purpose of recommending salary increments, assigning departmental teaching and service responsibilities, and allocating departmental teaching and service support. </w:t>
      </w:r>
    </w:p>
    <w:p w14:paraId="3CF6C73B" w14:textId="77777777" w:rsidR="00155AB3" w:rsidRDefault="00460BAE" w:rsidP="00155AB3">
      <w:pPr>
        <w:pStyle w:val="Heading3"/>
        <w:numPr>
          <w:ilvl w:val="2"/>
          <w:numId w:val="3"/>
        </w:numPr>
        <w:ind w:hanging="288"/>
      </w:pPr>
      <w:r w:rsidRPr="00661E54">
        <w:rPr>
          <w:u w:val="single"/>
        </w:rPr>
        <w:t>Peer evaluations</w:t>
      </w:r>
      <w:r w:rsidRPr="00661E54">
        <w:t xml:space="preserve"> by the </w:t>
      </w:r>
      <w:r w:rsidR="00560CB4">
        <w:t xml:space="preserve">Departmental Consulting </w:t>
      </w:r>
      <w:r w:rsidR="00560CB4" w:rsidRPr="00661E54">
        <w:t>Group</w:t>
      </w:r>
      <w:r w:rsidR="00571681">
        <w:t xml:space="preserve"> </w:t>
      </w:r>
      <w:r w:rsidRPr="00661E54">
        <w:t xml:space="preserve">for making recommendations for reappointment and promotion of instructional faculty members. </w:t>
      </w:r>
    </w:p>
    <w:p w14:paraId="5AA2AAEE" w14:textId="0FA80C91" w:rsidR="00D77638" w:rsidRPr="00661E54" w:rsidRDefault="00460BAE" w:rsidP="00155AB3">
      <w:pPr>
        <w:pStyle w:val="Heading3"/>
        <w:numPr>
          <w:ilvl w:val="0"/>
          <w:numId w:val="0"/>
        </w:numPr>
        <w:ind w:firstLine="720"/>
      </w:pPr>
      <w:r w:rsidRPr="00661E54">
        <w:t>All evaluations of faculty performance will be based on documented evidence of faculty contributions in the areas of te</w:t>
      </w:r>
      <w:r w:rsidR="00FB7A4D">
        <w:t>aching</w:t>
      </w:r>
      <w:r w:rsidR="00F659D8">
        <w:t xml:space="preserve">, and if relevant, </w:t>
      </w:r>
      <w:proofErr w:type="gramStart"/>
      <w:r w:rsidR="00FB7A4D">
        <w:t>service</w:t>
      </w:r>
      <w:proofErr w:type="gramEnd"/>
      <w:r w:rsidR="00FB7A4D">
        <w:t xml:space="preserve"> or </w:t>
      </w:r>
      <w:r w:rsidR="00F659D8">
        <w:t>professional productivity</w:t>
      </w:r>
      <w:r w:rsidRPr="00661E54">
        <w:t xml:space="preserve">. Contributions in teaching will be the major factor in determining the outcome of each evaluation; service, although important, will not carry the same weight. </w:t>
      </w:r>
      <w:r w:rsidR="001E6DD0" w:rsidRPr="001E6DD0">
        <w:t xml:space="preserve"> </w:t>
      </w:r>
      <w:r w:rsidR="001E6DD0" w:rsidRPr="006B0CE2">
        <w:t xml:space="preserve">College of Engineering </w:t>
      </w:r>
      <w:r w:rsidR="001E6DD0">
        <w:t>Faculty Activities Summary (FAS)</w:t>
      </w:r>
      <w:r w:rsidR="00560CB4">
        <w:t xml:space="preserve"> </w:t>
      </w:r>
      <w:r w:rsidRPr="00661E54">
        <w:t xml:space="preserve">contains appropriate sections in which contributions in these areas are recorded in detail. </w:t>
      </w:r>
      <w:r w:rsidR="006B0CE2" w:rsidRPr="006B0CE2">
        <w:t xml:space="preserve">Faculty may submit acceptable curriculum vitae in place of </w:t>
      </w:r>
      <w:r w:rsidR="00913BCE">
        <w:t>FAS</w:t>
      </w:r>
      <w:r w:rsidR="006B0CE2" w:rsidRPr="006B0CE2">
        <w:t xml:space="preserve">, and references to </w:t>
      </w:r>
      <w:r w:rsidR="00913BCE">
        <w:t>FAS</w:t>
      </w:r>
      <w:r w:rsidR="006B0CE2" w:rsidRPr="006B0CE2">
        <w:t xml:space="preserve"> in the remainder of the policy can be read as “</w:t>
      </w:r>
      <w:r w:rsidR="00913BCE">
        <w:t>FAS</w:t>
      </w:r>
      <w:r w:rsidR="006B0CE2" w:rsidRPr="006B0CE2">
        <w:t xml:space="preserve"> or equivalent information in the form of the College of Engineering FAS or acceptable curriculum vitae.”</w:t>
      </w:r>
      <w:r w:rsidR="006B0CE2">
        <w:t xml:space="preserve">  </w:t>
      </w:r>
      <w:r w:rsidRPr="00661E54">
        <w:t xml:space="preserve">The specific elements of evaluation of these contributions are as follows. </w:t>
      </w:r>
    </w:p>
    <w:p w14:paraId="2D84481A" w14:textId="77777777" w:rsidR="00D77638" w:rsidRPr="00661E54" w:rsidRDefault="00460BAE">
      <w:pPr>
        <w:pStyle w:val="Heading2"/>
        <w:numPr>
          <w:ilvl w:val="1"/>
          <w:numId w:val="4"/>
        </w:numPr>
      </w:pPr>
      <w:bookmarkStart w:id="30" w:name="_Toc457908177"/>
      <w:bookmarkStart w:id="31" w:name="_Toc457908039"/>
      <w:bookmarkStart w:id="32" w:name="_Toc158832138"/>
      <w:r w:rsidRPr="00661E54">
        <w:t>Evaluation of Teaching</w:t>
      </w:r>
      <w:bookmarkEnd w:id="30"/>
      <w:bookmarkEnd w:id="31"/>
      <w:bookmarkEnd w:id="32"/>
      <w:r w:rsidRPr="00661E54">
        <w:t xml:space="preserve"> </w:t>
      </w:r>
    </w:p>
    <w:p w14:paraId="46CEC68A" w14:textId="23D7DD41" w:rsidR="00D77638" w:rsidRPr="00661E54" w:rsidRDefault="00460BAE">
      <w:r w:rsidRPr="00661E54">
        <w:t xml:space="preserve">The first step in any consideration </w:t>
      </w:r>
      <w:r w:rsidR="00E04D4B">
        <w:t>of faculty performance is an</w:t>
      </w:r>
      <w:r w:rsidRPr="00661E54">
        <w:t xml:space="preserve"> evaluation of teaching effectiveness. Only after an affirmative judgment as to teaching effectiveness has been made can serious consideration be given to an evaluation of professional </w:t>
      </w:r>
      <w:r w:rsidR="00F659D8">
        <w:t xml:space="preserve">productivity </w:t>
      </w:r>
      <w:r w:rsidR="00FB7A4D">
        <w:t>or</w:t>
      </w:r>
      <w:r w:rsidR="00F659D8">
        <w:t xml:space="preserve"> </w:t>
      </w:r>
      <w:r w:rsidRPr="00661E54">
        <w:t xml:space="preserve">service. </w:t>
      </w:r>
    </w:p>
    <w:p w14:paraId="05A385B6" w14:textId="3E077201" w:rsidR="00D77638" w:rsidRPr="00661E54" w:rsidRDefault="00560CB4">
      <w:r>
        <w:t>Instructional Faculty in the College are generally</w:t>
      </w:r>
      <w:r w:rsidR="008B5DDF">
        <w:t xml:space="preserve"> expected to teach courses at </w:t>
      </w:r>
      <w:r>
        <w:t xml:space="preserve">a variety of academic levels.  The teaching expectations for each individual instructional faculty member are defined in their </w:t>
      </w:r>
      <w:r w:rsidR="008B5DDF">
        <w:t xml:space="preserve">individual employment contract. </w:t>
      </w:r>
      <w:r>
        <w:t xml:space="preserve">The evaluation of teaching will focus on the expectations so defined.  </w:t>
      </w:r>
      <w:r w:rsidR="00460BAE" w:rsidRPr="00661E54">
        <w:t xml:space="preserve">The most important element in the peer evaluation of teaching is the determination of the contributions made by the faculty member in the development and maintenance of contemporary high-quality curricula at the undergraduate and the graduate levels in the light of established collegiate and departmental goals. Evidence for this should be drawn from </w:t>
      </w:r>
      <w:r w:rsidR="00460BAE" w:rsidRPr="00661E54">
        <w:lastRenderedPageBreak/>
        <w:t xml:space="preserve">the various items in the </w:t>
      </w:r>
      <w:r w:rsidR="00913BCE">
        <w:t>FAS</w:t>
      </w:r>
      <w:r w:rsidR="00460BAE" w:rsidRPr="00661E54">
        <w:t xml:space="preserve"> and evaluated. The following are the essential aspects of such an evaluation. </w:t>
      </w:r>
    </w:p>
    <w:p w14:paraId="6D4D47F8" w14:textId="77777777" w:rsidR="00D77638" w:rsidRPr="00661E54" w:rsidRDefault="00460BAE" w:rsidP="003D6F90">
      <w:pPr>
        <w:pStyle w:val="Heading3"/>
        <w:numPr>
          <w:ilvl w:val="0"/>
          <w:numId w:val="0"/>
        </w:numPr>
        <w:ind w:left="1170"/>
      </w:pPr>
      <w:r w:rsidRPr="00661E54">
        <w:t>1.</w:t>
      </w:r>
      <w:r w:rsidRPr="00661E54">
        <w:tab/>
        <w:t xml:space="preserve">Evaluation of the objectives and contents of, and methods and policies in, courses taught by the faculty member </w:t>
      </w:r>
      <w:proofErr w:type="gramStart"/>
      <w:r w:rsidRPr="00661E54">
        <w:t>with regard to</w:t>
      </w:r>
      <w:proofErr w:type="gramEnd"/>
      <w:r w:rsidRPr="00661E54">
        <w:t xml:space="preserve"> the currency of content, depth of coverage, treatment of topics assumed for subsequent courses, selection of textbook and teaching material, and preparation of teaching aids. </w:t>
      </w:r>
    </w:p>
    <w:p w14:paraId="4F134646" w14:textId="68B18972" w:rsidR="00826BD1" w:rsidRDefault="00460BAE" w:rsidP="00826BD1">
      <w:pPr>
        <w:pStyle w:val="Heading3"/>
        <w:numPr>
          <w:ilvl w:val="0"/>
          <w:numId w:val="0"/>
        </w:numPr>
        <w:ind w:left="1170"/>
      </w:pPr>
      <w:r w:rsidRPr="00661E54">
        <w:t>2.</w:t>
      </w:r>
      <w:r w:rsidRPr="00661E54">
        <w:tab/>
        <w:t>Evaluation of contributions to</w:t>
      </w:r>
      <w:r w:rsidR="00E72A9D">
        <w:t xml:space="preserve"> curri</w:t>
      </w:r>
      <w:r w:rsidR="00826BD1">
        <w:t>culum development, which may include:</w:t>
      </w:r>
    </w:p>
    <w:p w14:paraId="435DDC1F" w14:textId="4F52E86E" w:rsidR="00D77638" w:rsidRPr="00661E54" w:rsidRDefault="00826BD1" w:rsidP="00826BD1">
      <w:pPr>
        <w:pStyle w:val="Heading3"/>
        <w:numPr>
          <w:ilvl w:val="0"/>
          <w:numId w:val="0"/>
        </w:numPr>
        <w:ind w:left="1440" w:firstLine="432"/>
      </w:pPr>
      <w:r>
        <w:t xml:space="preserve">a) </w:t>
      </w:r>
      <w:r w:rsidRPr="00661E54">
        <w:t xml:space="preserve"> </w:t>
      </w:r>
      <w:r w:rsidR="00460BAE" w:rsidRPr="00661E54">
        <w:t xml:space="preserve">introduction of new courses, </w:t>
      </w:r>
    </w:p>
    <w:p w14:paraId="02D25959" w14:textId="306AE0F7" w:rsidR="00D77638" w:rsidRPr="00661E54" w:rsidRDefault="00460BAE" w:rsidP="00826BD1">
      <w:pPr>
        <w:pStyle w:val="Heading4"/>
        <w:numPr>
          <w:ilvl w:val="3"/>
          <w:numId w:val="8"/>
        </w:numPr>
      </w:pPr>
      <w:r w:rsidRPr="00661E54">
        <w:t>introduction of innovative teaching methods,</w:t>
      </w:r>
    </w:p>
    <w:p w14:paraId="5ABA54C4" w14:textId="77777777" w:rsidR="00D77638" w:rsidRPr="00661E54" w:rsidRDefault="00460BAE" w:rsidP="00826BD1">
      <w:pPr>
        <w:pStyle w:val="Heading4"/>
        <w:numPr>
          <w:ilvl w:val="3"/>
          <w:numId w:val="8"/>
        </w:numPr>
        <w:ind w:left="2160" w:hanging="288"/>
      </w:pPr>
      <w:r w:rsidRPr="00661E54">
        <w:t xml:space="preserve">seminars on modern topics for the benefit of students and faculty, </w:t>
      </w:r>
    </w:p>
    <w:p w14:paraId="3952CE34" w14:textId="77777777" w:rsidR="00D77638" w:rsidRPr="00661E54" w:rsidRDefault="00460BAE" w:rsidP="00826BD1">
      <w:pPr>
        <w:pStyle w:val="Heading4"/>
        <w:numPr>
          <w:ilvl w:val="3"/>
          <w:numId w:val="8"/>
        </w:numPr>
        <w:ind w:left="2160" w:hanging="288"/>
      </w:pPr>
      <w:r w:rsidRPr="00661E54">
        <w:t xml:space="preserve">development of teaching laboratories, </w:t>
      </w:r>
    </w:p>
    <w:p w14:paraId="38BD7A0E" w14:textId="77777777" w:rsidR="00D77638" w:rsidRPr="00661E54" w:rsidRDefault="00460BAE" w:rsidP="00826BD1">
      <w:pPr>
        <w:pStyle w:val="Heading4"/>
        <w:numPr>
          <w:ilvl w:val="3"/>
          <w:numId w:val="8"/>
        </w:numPr>
        <w:ind w:left="2160" w:hanging="288"/>
      </w:pPr>
      <w:r w:rsidRPr="00661E54">
        <w:t xml:space="preserve">introduction of computer technology in courses, </w:t>
      </w:r>
    </w:p>
    <w:p w14:paraId="58004AC5" w14:textId="77777777" w:rsidR="00D77638" w:rsidRPr="00661E54" w:rsidRDefault="00460BAE" w:rsidP="00826BD1">
      <w:pPr>
        <w:pStyle w:val="Heading4"/>
        <w:numPr>
          <w:ilvl w:val="3"/>
          <w:numId w:val="8"/>
        </w:numPr>
        <w:ind w:left="2160" w:hanging="288"/>
      </w:pPr>
      <w:r w:rsidRPr="00661E54">
        <w:t xml:space="preserve">participation in teaching-related committees, </w:t>
      </w:r>
    </w:p>
    <w:p w14:paraId="1E413FAF" w14:textId="506E6919" w:rsidR="00D77638" w:rsidRPr="00661E54" w:rsidRDefault="00460BAE" w:rsidP="00826BD1">
      <w:pPr>
        <w:pStyle w:val="Heading4"/>
        <w:numPr>
          <w:ilvl w:val="3"/>
          <w:numId w:val="8"/>
        </w:numPr>
        <w:tabs>
          <w:tab w:val="left" w:pos="2340"/>
        </w:tabs>
        <w:ind w:left="2160" w:hanging="288"/>
      </w:pPr>
      <w:r w:rsidRPr="00661E54">
        <w:t>participation in other aspects</w:t>
      </w:r>
      <w:r w:rsidR="00826BD1">
        <w:t xml:space="preserve"> of curriculum development,</w:t>
      </w:r>
    </w:p>
    <w:p w14:paraId="4834E76D" w14:textId="33DA6C76" w:rsidR="00D77638" w:rsidRPr="00661E54" w:rsidRDefault="00460BAE" w:rsidP="00826BD1">
      <w:pPr>
        <w:pStyle w:val="Heading4"/>
        <w:numPr>
          <w:ilvl w:val="3"/>
          <w:numId w:val="8"/>
        </w:numPr>
        <w:ind w:left="2160" w:hanging="288"/>
      </w:pPr>
      <w:r w:rsidRPr="00661E54">
        <w:t xml:space="preserve">cooperation with other instructors of </w:t>
      </w:r>
      <w:proofErr w:type="spellStart"/>
      <w:r w:rsidRPr="00661E54">
        <w:t>mu</w:t>
      </w:r>
      <w:r w:rsidR="0031135A">
        <w:t>ltisection</w:t>
      </w:r>
      <w:proofErr w:type="spellEnd"/>
      <w:r w:rsidR="0031135A">
        <w:t xml:space="preserve"> and related courses, and</w:t>
      </w:r>
    </w:p>
    <w:p w14:paraId="309F2C0C" w14:textId="286C7E79" w:rsidR="00D77638" w:rsidRPr="00661E54" w:rsidRDefault="00460BAE" w:rsidP="00826BD1">
      <w:pPr>
        <w:pStyle w:val="Heading4"/>
        <w:numPr>
          <w:ilvl w:val="3"/>
          <w:numId w:val="8"/>
        </w:numPr>
        <w:ind w:left="2160" w:hanging="270"/>
      </w:pPr>
      <w:r w:rsidRPr="00661E54">
        <w:t>other (</w:t>
      </w:r>
      <w:r w:rsidR="00826BD1">
        <w:t xml:space="preserve">e.g., </w:t>
      </w:r>
      <w:r w:rsidRPr="00661E54">
        <w:t>development of new course materials, new laboratory experiments, substantial course revisio</w:t>
      </w:r>
      <w:r w:rsidR="00326C0E">
        <w:t>n, coordination of courses</w:t>
      </w:r>
      <w:r w:rsidRPr="00661E54">
        <w:t xml:space="preserve">). </w:t>
      </w:r>
    </w:p>
    <w:p w14:paraId="65698DF7" w14:textId="4E9E359F" w:rsidR="00D77638" w:rsidRPr="00661E54" w:rsidRDefault="00460BAE" w:rsidP="00CF6D55">
      <w:pPr>
        <w:ind w:left="1170" w:firstLine="0"/>
      </w:pPr>
      <w:r w:rsidRPr="00661E54">
        <w:t>3. Evaluation of student inputs received through the mandatory Assessing the Classroom Environm</w:t>
      </w:r>
      <w:r w:rsidR="00560CB4">
        <w:t>ent (ACE) forms and additional student input solicited by</w:t>
      </w:r>
      <w:r w:rsidRPr="00661E54">
        <w:t xml:space="preserve"> the Departmental Consulting Group (DCG) </w:t>
      </w:r>
      <w:r w:rsidRPr="00832715">
        <w:rPr>
          <w:color w:val="auto"/>
        </w:rPr>
        <w:t>or</w:t>
      </w:r>
      <w:r w:rsidR="00832715">
        <w:t xml:space="preserve"> </w:t>
      </w:r>
      <w:r w:rsidRPr="00661E54">
        <w:t xml:space="preserve">DEO as part of the regular review process </w:t>
      </w:r>
      <w:proofErr w:type="gramStart"/>
      <w:r w:rsidRPr="00661E54">
        <w:t>with regard to</w:t>
      </w:r>
      <w:proofErr w:type="gramEnd"/>
      <w:r w:rsidRPr="00661E54">
        <w:t xml:space="preserve"> the classroom performance of the faculty member. Since departmental normative data are often sparse and thus of questionable reliability, analysis of ACE information should include a comparison to normative College-wide ACE data. </w:t>
      </w:r>
    </w:p>
    <w:p w14:paraId="1D78331F" w14:textId="48A8AD70" w:rsidR="00D77638" w:rsidRPr="00661E54" w:rsidRDefault="00460BAE" w:rsidP="00CF6D55">
      <w:pPr>
        <w:ind w:left="1170" w:firstLine="0"/>
      </w:pPr>
      <w:r w:rsidRPr="00661E54">
        <w:t xml:space="preserve">4. Evaluation of published class notes, </w:t>
      </w:r>
      <w:proofErr w:type="gramStart"/>
      <w:r w:rsidRPr="00661E54">
        <w:t>textbooks</w:t>
      </w:r>
      <w:proofErr w:type="gramEnd"/>
      <w:r w:rsidRPr="00661E54">
        <w:t xml:space="preserve"> and other educational material, and of teaching-related awards. </w:t>
      </w:r>
    </w:p>
    <w:p w14:paraId="274DDF71" w14:textId="4161005A" w:rsidR="00D77638" w:rsidRPr="00661E54" w:rsidRDefault="00460BAE" w:rsidP="00CF6D55">
      <w:pPr>
        <w:ind w:left="1170" w:firstLine="0"/>
      </w:pPr>
      <w:r w:rsidRPr="00661E54">
        <w:t>5. Observation by peers of classroom teaching. At minimum, three sessions must be observed as part of the peer evaluation of teaching for every reappointment or promotion review. At least two observers, who will be faculty qualified to</w:t>
      </w:r>
      <w:r w:rsidR="00F14980">
        <w:t xml:space="preserve"> be members of the candidate’s </w:t>
      </w:r>
      <w:r w:rsidRPr="00661E54">
        <w:t xml:space="preserve">DCG unless circumstances dictate otherwise, will participate in the visits. The DEO, after consulting with the candidate, shall arrange for selection of the observers. Classroom visits need not take place during the semester in which the review is conducted but may take place during the preceding four academic-year semesters. Visits will be scheduled with appropriate advance notice and in consultation with the </w:t>
      </w:r>
      <w:r w:rsidRPr="00661E54">
        <w:lastRenderedPageBreak/>
        <w:t>candidate. Unless prohibited by written department policy, video observation may, with the candidate’s consent, be substituted for direct observation of classroom teaching. Unless departmental policy specifies a particular method of recording observations, individual observers may use their own discretion in recording their findings. The conclusions of the observers shall be incorporated into the peer evaluation of teaching report, a copy of which is provided to the candidate. If provided for by department policy, observers may individually or jointly draft a separate report which is shared with the candidate. Although classroom observations are a required part of the peer evaluation of teaching, it is desirable that the observations also serve to help the candidate improve his or her teaching.</w:t>
      </w:r>
    </w:p>
    <w:p w14:paraId="7181A7D9" w14:textId="65E4358F" w:rsidR="00D77638" w:rsidRDefault="00CF6D55">
      <w:r>
        <w:t xml:space="preserve">       </w:t>
      </w:r>
      <w:r w:rsidR="00460BAE" w:rsidRPr="00661E54">
        <w:t>6. Evaluation of contributions to undergraduate advising as assigned by the DEO.</w:t>
      </w:r>
    </w:p>
    <w:p w14:paraId="085C7F53" w14:textId="72C007AE" w:rsidR="005B772A" w:rsidRPr="00661E54" w:rsidRDefault="005B4980" w:rsidP="005B4980">
      <w:pPr>
        <w:ind w:firstLine="0"/>
      </w:pPr>
      <w:r>
        <w:tab/>
        <w:t>The evaluation of teaching will be consistent with the faculty member’</w:t>
      </w:r>
      <w:r w:rsidR="00DA0DD7">
        <w:t xml:space="preserve">s </w:t>
      </w:r>
      <w:r w:rsidR="00C437F1">
        <w:t xml:space="preserve">workload allocation as specified in his/her individual </w:t>
      </w:r>
      <w:r w:rsidR="00D268A0">
        <w:t>employment contract.</w:t>
      </w:r>
    </w:p>
    <w:p w14:paraId="161119B5" w14:textId="6EFCCA93" w:rsidR="00D77638" w:rsidRPr="00661E54" w:rsidRDefault="00460BAE" w:rsidP="00826BD1">
      <w:pPr>
        <w:pStyle w:val="Heading2"/>
        <w:numPr>
          <w:ilvl w:val="1"/>
          <w:numId w:val="8"/>
        </w:numPr>
      </w:pPr>
      <w:bookmarkStart w:id="33" w:name="_Toc457908178"/>
      <w:bookmarkStart w:id="34" w:name="_Toc457908040"/>
      <w:bookmarkStart w:id="35" w:name="_Toc158832139"/>
      <w:r w:rsidRPr="00661E54">
        <w:t xml:space="preserve">Evaluation of Professional </w:t>
      </w:r>
      <w:bookmarkEnd w:id="33"/>
      <w:bookmarkEnd w:id="34"/>
      <w:r w:rsidR="00CF5648">
        <w:t>Productivity and Service</w:t>
      </w:r>
      <w:bookmarkEnd w:id="35"/>
    </w:p>
    <w:p w14:paraId="2914018F" w14:textId="390BB032" w:rsidR="00D77638" w:rsidRPr="00661E54" w:rsidRDefault="00460BAE">
      <w:r w:rsidRPr="00661E54">
        <w:t>In addition to teaching contributions,</w:t>
      </w:r>
      <w:r w:rsidR="005B772A">
        <w:t xml:space="preserve"> instructional faculty members may be</w:t>
      </w:r>
      <w:r w:rsidRPr="00661E54">
        <w:t xml:space="preserve"> expected to provide </w:t>
      </w:r>
      <w:r w:rsidR="00156D43">
        <w:t xml:space="preserve">professional productivity or </w:t>
      </w:r>
      <w:r w:rsidRPr="00661E54">
        <w:t xml:space="preserve">service at various levels within and outside the department. It is very difficult, and perhaps unnecessary, to place a higher value on one type of </w:t>
      </w:r>
      <w:r w:rsidR="00AE5CBC">
        <w:t xml:space="preserve">professional productivity or </w:t>
      </w:r>
      <w:r w:rsidRPr="00661E54">
        <w:t xml:space="preserve">service activity than on another. However, factors that are paramount in the evaluation of overall </w:t>
      </w:r>
      <w:r w:rsidR="00CB7E63">
        <w:t xml:space="preserve">professional productivity or </w:t>
      </w:r>
      <w:r w:rsidRPr="00661E54">
        <w:t>service contributions are (a) successful discharge of departmental and collegiate responsibilities, (b) growth in the scope of</w:t>
      </w:r>
      <w:r w:rsidR="0077631F">
        <w:t xml:space="preserve"> professional productivity or</w:t>
      </w:r>
      <w:r w:rsidRPr="00661E54">
        <w:t xml:space="preserve"> service with advancement in ranks of instructional faculty, and (c) contribution to the enhancement of the reputation of the department and the University regarding teaching and learning. The types of activities to be considered in </w:t>
      </w:r>
      <w:r w:rsidR="0012198C">
        <w:t>the</w:t>
      </w:r>
      <w:r w:rsidRPr="00661E54">
        <w:t xml:space="preserve"> evaluation of </w:t>
      </w:r>
      <w:r w:rsidR="00B62ED2">
        <w:t xml:space="preserve">professional productivity and </w:t>
      </w:r>
      <w:r w:rsidRPr="00661E54">
        <w:t xml:space="preserve">service involve the following: </w:t>
      </w:r>
    </w:p>
    <w:p w14:paraId="7F8C8564" w14:textId="671C2B5D" w:rsidR="00D77638" w:rsidRPr="00661E54" w:rsidRDefault="00460BAE" w:rsidP="008A444C">
      <w:pPr>
        <w:pStyle w:val="Heading3"/>
        <w:numPr>
          <w:ilvl w:val="2"/>
          <w:numId w:val="8"/>
        </w:numPr>
        <w:ind w:hanging="288"/>
      </w:pPr>
      <w:r w:rsidRPr="00661E54">
        <w:t xml:space="preserve">Department, College, and University. Carrying out committee responsibilities in a thorough and timely manner is essential for a favorable evaluation. Other activities </w:t>
      </w:r>
      <w:r w:rsidR="005B1FD3">
        <w:t xml:space="preserve">may </w:t>
      </w:r>
      <w:r w:rsidRPr="00661E54">
        <w:t xml:space="preserve">include advising students and student organizations, providing peer support for the teaching mission, and, for more experienced faculty members, taking a leadership role in curriculum review and development, and in securing external support for advancement of teaching and learning and the academic programs of the department. </w:t>
      </w:r>
    </w:p>
    <w:p w14:paraId="4CE6413E" w14:textId="0E65D606" w:rsidR="00D77638" w:rsidRPr="00661E54" w:rsidRDefault="00460BAE" w:rsidP="00826BD1">
      <w:pPr>
        <w:pStyle w:val="Heading3"/>
        <w:numPr>
          <w:ilvl w:val="2"/>
          <w:numId w:val="8"/>
        </w:numPr>
        <w:ind w:hanging="288"/>
      </w:pPr>
      <w:r w:rsidRPr="00661E54">
        <w:t xml:space="preserve">Professional and Scholarly Organizations. Important forms of service in this category </w:t>
      </w:r>
      <w:r w:rsidR="00521F15">
        <w:t xml:space="preserve">may </w:t>
      </w:r>
      <w:proofErr w:type="gramStart"/>
      <w:r w:rsidRPr="00661E54">
        <w:t>include:</w:t>
      </w:r>
      <w:proofErr w:type="gramEnd"/>
      <w:r w:rsidRPr="00661E54">
        <w:t xml:space="preserve"> membership on committee</w:t>
      </w:r>
      <w:r w:rsidR="008A444C">
        <w:t>s</w:t>
      </w:r>
      <w:r w:rsidRPr="00661E54">
        <w:t xml:space="preserve"> that address engineering education; organization of conferences or sessions at conferences that address engineering education; presentation of short courses; membership on accreditation boards or agencies; and other activities closely related to teaching and learning.</w:t>
      </w:r>
    </w:p>
    <w:p w14:paraId="3861C15D" w14:textId="542C13D4" w:rsidR="00D77638" w:rsidRDefault="00460BAE" w:rsidP="00826BD1">
      <w:pPr>
        <w:pStyle w:val="Heading3"/>
        <w:numPr>
          <w:ilvl w:val="2"/>
          <w:numId w:val="8"/>
        </w:numPr>
        <w:ind w:hanging="288"/>
      </w:pPr>
      <w:r w:rsidRPr="00661E54">
        <w:t xml:space="preserve">Government Agencies and Community Groups. These include membership on state and national boards, and professional advising of government organizations in the </w:t>
      </w:r>
      <w:r w:rsidRPr="00661E54">
        <w:lastRenderedPageBreak/>
        <w:t>solution of engineering problems and in the formulation of public policy related to engineering education.</w:t>
      </w:r>
    </w:p>
    <w:p w14:paraId="3A017CF0" w14:textId="07530DE1" w:rsidR="004C3C0A" w:rsidRDefault="004C3C0A" w:rsidP="004C3C0A">
      <w:pPr>
        <w:pStyle w:val="ListParagraph"/>
        <w:numPr>
          <w:ilvl w:val="2"/>
          <w:numId w:val="8"/>
        </w:numPr>
        <w:ind w:hanging="360"/>
      </w:pPr>
      <w:r>
        <w:t>Profes</w:t>
      </w:r>
      <w:r w:rsidR="00156D43">
        <w:t>sional P</w:t>
      </w:r>
      <w:r w:rsidR="00612B64">
        <w:t>roductiv</w:t>
      </w:r>
      <w:r w:rsidR="00480C65">
        <w:t>ity</w:t>
      </w:r>
      <w:r w:rsidR="00156D43">
        <w:t>. This</w:t>
      </w:r>
      <w:r w:rsidR="00480C65">
        <w:t xml:space="preserve"> may include, e.g., author</w:t>
      </w:r>
      <w:r w:rsidR="000427AD">
        <w:t>i</w:t>
      </w:r>
      <w:r w:rsidR="00612B64">
        <w:t>ng textbooks or other instructional material; development and dissemination of course laboratories</w:t>
      </w:r>
      <w:r w:rsidR="00E12E29">
        <w:t xml:space="preserve"> or other curriculum enhancements</w:t>
      </w:r>
      <w:r w:rsidR="006B7EE6">
        <w:t>; or development, investigation, and dissemination of pedagogical findings</w:t>
      </w:r>
      <w:r w:rsidR="005E7EFC">
        <w:t xml:space="preserve"> </w:t>
      </w:r>
      <w:r w:rsidR="00657FC5">
        <w:t>on</w:t>
      </w:r>
      <w:r w:rsidR="005E7EFC">
        <w:t xml:space="preserve"> novel </w:t>
      </w:r>
      <w:r w:rsidR="000870B1">
        <w:t>teaching methods or techniques</w:t>
      </w:r>
      <w:r w:rsidR="008A4139">
        <w:t>.</w:t>
      </w:r>
    </w:p>
    <w:p w14:paraId="05B728DC" w14:textId="77777777" w:rsidR="004A25A0" w:rsidRPr="004C3C0A" w:rsidRDefault="004A25A0" w:rsidP="004A25A0">
      <w:pPr>
        <w:pStyle w:val="ListParagraph"/>
        <w:ind w:left="1440" w:firstLine="0"/>
      </w:pPr>
    </w:p>
    <w:p w14:paraId="214FE16F" w14:textId="398200CE" w:rsidR="00560CB4" w:rsidRPr="00560CB4" w:rsidRDefault="00560CB4" w:rsidP="00560CB4">
      <w:r>
        <w:t xml:space="preserve">The evaluation of </w:t>
      </w:r>
      <w:r w:rsidR="002673CC">
        <w:t xml:space="preserve">professional productivity and </w:t>
      </w:r>
      <w:r>
        <w:t xml:space="preserve">service activities will be consistent with </w:t>
      </w:r>
      <w:r w:rsidR="00AE5073">
        <w:t>the faculty member’</w:t>
      </w:r>
      <w:r w:rsidR="006041D2">
        <w:t>s</w:t>
      </w:r>
      <w:r>
        <w:t xml:space="preserve"> </w:t>
      </w:r>
      <w:r w:rsidR="00BF0E7F">
        <w:t>individual employment contract.</w:t>
      </w:r>
    </w:p>
    <w:p w14:paraId="1943DE76" w14:textId="77777777" w:rsidR="00D77638" w:rsidRPr="00661E54" w:rsidRDefault="00460BAE" w:rsidP="00826BD1">
      <w:pPr>
        <w:pStyle w:val="Heading2"/>
        <w:numPr>
          <w:ilvl w:val="1"/>
          <w:numId w:val="8"/>
        </w:numPr>
      </w:pPr>
      <w:bookmarkStart w:id="36" w:name="_Toc158832140"/>
      <w:r w:rsidRPr="00661E54">
        <w:t>Summary</w:t>
      </w:r>
      <w:bookmarkEnd w:id="36"/>
    </w:p>
    <w:p w14:paraId="0F0F96A0" w14:textId="2A925425" w:rsidR="00D77638" w:rsidRPr="008661EB" w:rsidRDefault="00460BAE" w:rsidP="008661EB">
      <w:pPr>
        <w:tabs>
          <w:tab w:val="left" w:pos="720"/>
          <w:tab w:val="center" w:pos="4680"/>
        </w:tabs>
        <w:ind w:right="108"/>
      </w:pPr>
      <w:r w:rsidRPr="00661E54">
        <w:tab/>
        <w:t>In identifying the important elements in the evaluation of faculty performance, no attempt has been made to distinguish be</w:t>
      </w:r>
      <w:r w:rsidRPr="00661E54">
        <w:softHyphen/>
        <w:t>tween criteria applicable to different academic ranks.  The same gen</w:t>
      </w:r>
      <w:r w:rsidRPr="00661E54">
        <w:softHyphen/>
        <w:t>eral types of activities are normally pursued by all instructional faculty.  The evaluations are, however, to be based on the differences in qualifications and conditions noted i</w:t>
      </w:r>
      <w:r w:rsidR="008661EB">
        <w:t>n Section II of this docu</w:t>
      </w:r>
      <w:r w:rsidR="008661EB">
        <w:softHyphen/>
        <w:t>ment.</w:t>
      </w:r>
      <w:r w:rsidRPr="00661E54">
        <w:br w:type="page"/>
      </w:r>
    </w:p>
    <w:p w14:paraId="6412441A" w14:textId="77777777" w:rsidR="00D77638" w:rsidRPr="00661E54" w:rsidRDefault="00460BAE" w:rsidP="00826BD1">
      <w:pPr>
        <w:pStyle w:val="Heading1"/>
        <w:numPr>
          <w:ilvl w:val="0"/>
          <w:numId w:val="8"/>
        </w:numPr>
      </w:pPr>
      <w:bookmarkStart w:id="37" w:name="_Toc158832141"/>
      <w:r w:rsidRPr="00661E54">
        <w:lastRenderedPageBreak/>
        <w:t>Review and Evaluation Procedures</w:t>
      </w:r>
      <w:bookmarkEnd w:id="37"/>
    </w:p>
    <w:p w14:paraId="2BCB7A54" w14:textId="77777777" w:rsidR="00D77638" w:rsidRPr="00661E54" w:rsidRDefault="00460BAE" w:rsidP="00826BD1">
      <w:pPr>
        <w:pStyle w:val="Heading2"/>
        <w:numPr>
          <w:ilvl w:val="1"/>
          <w:numId w:val="8"/>
        </w:numPr>
      </w:pPr>
      <w:bookmarkStart w:id="38" w:name="_Toc158832142"/>
      <w:r w:rsidRPr="00661E54">
        <w:t>Annual Evaluations by the Department Executive Officer</w:t>
      </w:r>
      <w:bookmarkEnd w:id="38"/>
    </w:p>
    <w:p w14:paraId="3820BD09" w14:textId="62399C3F" w:rsidR="00D77638" w:rsidRPr="00661E54" w:rsidRDefault="00460BAE" w:rsidP="00826BD1">
      <w:pPr>
        <w:pStyle w:val="Heading3"/>
        <w:numPr>
          <w:ilvl w:val="2"/>
          <w:numId w:val="8"/>
        </w:numPr>
        <w:ind w:hanging="288"/>
      </w:pPr>
      <w:r w:rsidRPr="00661E54">
        <w:t>Annual evaluations shall be made of all instructional fac</w:t>
      </w:r>
      <w:r w:rsidRPr="00661E54">
        <w:softHyphen/>
        <w:t>ulty members.</w:t>
      </w:r>
      <w:r w:rsidR="000A218A">
        <w:t xml:space="preserve"> From here onwards instructional faculty will refer to Assistant, Associate and full Professors of Instruction or Pract</w:t>
      </w:r>
      <w:r w:rsidR="00EA4471">
        <w:t>i</w:t>
      </w:r>
      <w:r w:rsidR="000A218A">
        <w:t>ce.</w:t>
      </w:r>
    </w:p>
    <w:p w14:paraId="5B00D7E9" w14:textId="6205D904" w:rsidR="00D77638" w:rsidRPr="00661E54" w:rsidRDefault="00460BAE" w:rsidP="00826BD1">
      <w:pPr>
        <w:pStyle w:val="Heading3"/>
        <w:numPr>
          <w:ilvl w:val="2"/>
          <w:numId w:val="8"/>
        </w:numPr>
        <w:ind w:hanging="288"/>
      </w:pPr>
      <w:r w:rsidRPr="00661E54">
        <w:t xml:space="preserve"> The evaluations shall be based on the latest </w:t>
      </w:r>
      <w:r w:rsidR="00913BCE">
        <w:t>FAS</w:t>
      </w:r>
      <w:r w:rsidR="00560CB4">
        <w:t xml:space="preserve">, ACE survey </w:t>
      </w:r>
      <w:r w:rsidR="000C1A6C">
        <w:t xml:space="preserve">data, </w:t>
      </w:r>
      <w:r w:rsidR="000C1A6C" w:rsidRPr="00661E54">
        <w:t>and</w:t>
      </w:r>
      <w:r w:rsidRPr="00661E54">
        <w:t xml:space="preserve"> any addi</w:t>
      </w:r>
      <w:r w:rsidRPr="00661E54">
        <w:softHyphen/>
        <w:t>tional material the faculty member believes is appropriate.  Deadlines for updating the</w:t>
      </w:r>
      <w:r w:rsidR="00560CB4">
        <w:t xml:space="preserve"> </w:t>
      </w:r>
      <w:r w:rsidR="00913BCE">
        <w:t>FAS</w:t>
      </w:r>
      <w:r w:rsidRPr="00661E54">
        <w:t xml:space="preserve"> and submitting additional material shall be established by the DEO.</w:t>
      </w:r>
    </w:p>
    <w:p w14:paraId="4A67F716" w14:textId="590DEFDD" w:rsidR="00D77638" w:rsidRPr="00661E54" w:rsidRDefault="00460BAE" w:rsidP="00826BD1">
      <w:pPr>
        <w:pStyle w:val="Heading3"/>
        <w:numPr>
          <w:ilvl w:val="2"/>
          <w:numId w:val="8"/>
        </w:numPr>
        <w:ind w:hanging="288"/>
      </w:pPr>
      <w:r w:rsidRPr="00661E54">
        <w:t xml:space="preserve">The DEO will carefully review the available material according to the expected standard of performance for the </w:t>
      </w:r>
      <w:r w:rsidR="00385C44">
        <w:t xml:space="preserve">instructional </w:t>
      </w:r>
      <w:r w:rsidRPr="00661E54">
        <w:t>faculty members in their unit</w:t>
      </w:r>
      <w:r w:rsidR="00670A9F">
        <w:t xml:space="preserve"> based on the individual faculty member’s workload allocation</w:t>
      </w:r>
      <w:r w:rsidRPr="00661E54">
        <w:t xml:space="preserve"> and then sched</w:t>
      </w:r>
      <w:r w:rsidRPr="00661E54">
        <w:softHyphen/>
        <w:t>ule an individual conference with each faculty member to discuss the DEO's evaluation of the material.  Such conferences shall take place before making any final recommendations for salary increments or real</w:t>
      </w:r>
      <w:r w:rsidRPr="00661E54">
        <w:softHyphen/>
        <w:t>location of departmental resources for the coming year.  In addition, the DEO may utilize inputs from students and other faculty mem</w:t>
      </w:r>
      <w:r w:rsidRPr="00661E54">
        <w:softHyphen/>
        <w:t>bers (and other DEOs for persons on joint appointments) who may have special knowledge of the contri</w:t>
      </w:r>
      <w:r w:rsidRPr="00661E54">
        <w:softHyphen/>
        <w:t>butions of the faculty member.</w:t>
      </w:r>
    </w:p>
    <w:p w14:paraId="117EE0FC" w14:textId="3DF5F30B" w:rsidR="00D77638" w:rsidRPr="00661E54" w:rsidRDefault="00460BAE" w:rsidP="00826BD1">
      <w:pPr>
        <w:pStyle w:val="Heading3"/>
        <w:numPr>
          <w:ilvl w:val="2"/>
          <w:numId w:val="8"/>
        </w:numPr>
        <w:ind w:hanging="288"/>
      </w:pPr>
      <w:r w:rsidRPr="00661E54">
        <w:t xml:space="preserve">When, </w:t>
      </w:r>
      <w:proofErr w:type="gramStart"/>
      <w:r w:rsidRPr="00661E54">
        <w:t>as a result of</w:t>
      </w:r>
      <w:proofErr w:type="gramEnd"/>
      <w:r w:rsidRPr="00661E54">
        <w:t xml:space="preserve"> an annual review, the DEO concludes that there are significant deficiencies related to teaching or service, the DEO shall provide written notifications of these conclusions to the faculty member being reviewed, and the faculty member will be given an opportunity to respond in writing. The final report and the faculty member's response will be sent to the</w:t>
      </w:r>
      <w:r w:rsidR="00560CB4">
        <w:t xml:space="preserve"> D</w:t>
      </w:r>
      <w:r w:rsidRPr="00661E54">
        <w:t>ean and will be kept with the faculty member's personnel records.</w:t>
      </w:r>
    </w:p>
    <w:p w14:paraId="4B89DCCB" w14:textId="77777777" w:rsidR="00D77638" w:rsidRPr="00661E54" w:rsidRDefault="00460BAE">
      <w:pPr>
        <w:rPr>
          <w:rFonts w:eastAsiaTheme="majorEastAsia" w:cstheme="majorBidi"/>
          <w:b/>
        </w:rPr>
      </w:pPr>
      <w:r w:rsidRPr="00661E54">
        <w:br w:type="page"/>
      </w:r>
    </w:p>
    <w:p w14:paraId="02E828E6" w14:textId="1F79BA8D" w:rsidR="00D77638" w:rsidRPr="00661E54" w:rsidRDefault="00460BAE" w:rsidP="00826BD1">
      <w:pPr>
        <w:pStyle w:val="Heading2"/>
        <w:numPr>
          <w:ilvl w:val="1"/>
          <w:numId w:val="8"/>
        </w:numPr>
      </w:pPr>
      <w:bookmarkStart w:id="39" w:name="_Toc158832143"/>
      <w:r w:rsidRPr="00661E54">
        <w:lastRenderedPageBreak/>
        <w:t>Faculty Participation in Peer Evaluation for Appointment, Reappointment, and Promotion Recommendations</w:t>
      </w:r>
      <w:bookmarkEnd w:id="39"/>
    </w:p>
    <w:p w14:paraId="1F75A82B" w14:textId="3C952BA3" w:rsidR="00D77638" w:rsidRPr="00661E54" w:rsidRDefault="00460BAE" w:rsidP="00826BD1">
      <w:pPr>
        <w:pStyle w:val="Heading3"/>
        <w:numPr>
          <w:ilvl w:val="2"/>
          <w:numId w:val="8"/>
        </w:numPr>
        <w:ind w:hanging="288"/>
      </w:pPr>
      <w:r w:rsidRPr="00661E54">
        <w:t>The composition of the DCG par</w:t>
      </w:r>
      <w:r w:rsidRPr="00661E54">
        <w:softHyphen/>
        <w:t>ticipating in the review and evaluation process will vary depending upon the sta</w:t>
      </w:r>
      <w:r w:rsidRPr="00661E54">
        <w:softHyphen/>
        <w:t>tus of the person being considered and the purpose of the review and will be limited to faculty mem</w:t>
      </w:r>
      <w:r w:rsidRPr="00661E54">
        <w:softHyphen/>
        <w:t>bers who attend the meeting or meetings where the appropriate matter is dis</w:t>
      </w:r>
      <w:r w:rsidRPr="00661E54">
        <w:softHyphen/>
        <w:t>cussed and resolved.  Mem</w:t>
      </w:r>
      <w:r w:rsidRPr="00661E54">
        <w:softHyphen/>
        <w:t>bership of the review committee shall be as follows</w:t>
      </w:r>
      <w:r w:rsidR="00755E47">
        <w:t xml:space="preserve">. In all cases, the faculty involved must hold primary appointment in the same department as the instructional faculty under consideration. </w:t>
      </w:r>
    </w:p>
    <w:tbl>
      <w:tblPr>
        <w:tblStyle w:val="TableGrid"/>
        <w:tblW w:w="9350" w:type="dxa"/>
        <w:tblCellMar>
          <w:left w:w="113" w:type="dxa"/>
        </w:tblCellMar>
        <w:tblLook w:val="04A0" w:firstRow="1" w:lastRow="0" w:firstColumn="1" w:lastColumn="0" w:noHBand="0" w:noVBand="1"/>
      </w:tblPr>
      <w:tblGrid>
        <w:gridCol w:w="4410"/>
        <w:gridCol w:w="4940"/>
      </w:tblGrid>
      <w:tr w:rsidR="00D77638" w:rsidRPr="00661E54" w14:paraId="7C2905B9" w14:textId="77777777" w:rsidTr="00CE7A48">
        <w:tc>
          <w:tcPr>
            <w:tcW w:w="4410" w:type="dxa"/>
            <w:tcBorders>
              <w:top w:val="nil"/>
              <w:left w:val="nil"/>
              <w:right w:val="nil"/>
            </w:tcBorders>
            <w:shd w:val="clear" w:color="auto" w:fill="auto"/>
          </w:tcPr>
          <w:p w14:paraId="7FC13E54" w14:textId="77777777" w:rsidR="00D77638" w:rsidRPr="00661E54" w:rsidRDefault="00460BAE">
            <w:pPr>
              <w:spacing w:after="0" w:line="240" w:lineRule="auto"/>
              <w:ind w:firstLine="0"/>
              <w:rPr>
                <w:b/>
              </w:rPr>
            </w:pPr>
            <w:r w:rsidRPr="00661E54">
              <w:rPr>
                <w:b/>
              </w:rPr>
              <w:t xml:space="preserve">                 Matter under Consideration</w:t>
            </w:r>
          </w:p>
        </w:tc>
        <w:tc>
          <w:tcPr>
            <w:tcW w:w="4940" w:type="dxa"/>
            <w:tcBorders>
              <w:top w:val="nil"/>
              <w:left w:val="nil"/>
              <w:right w:val="nil"/>
            </w:tcBorders>
            <w:shd w:val="clear" w:color="auto" w:fill="auto"/>
          </w:tcPr>
          <w:p w14:paraId="33812303" w14:textId="6875C4E4" w:rsidR="00D77638" w:rsidRPr="00661E54" w:rsidRDefault="00460BAE" w:rsidP="00560CB4">
            <w:pPr>
              <w:tabs>
                <w:tab w:val="left" w:pos="6120"/>
              </w:tabs>
              <w:spacing w:after="0" w:line="240" w:lineRule="auto"/>
              <w:ind w:right="108" w:firstLine="0"/>
              <w:rPr>
                <w:b/>
              </w:rPr>
            </w:pPr>
            <w:r w:rsidRPr="00661E54">
              <w:rPr>
                <w:b/>
              </w:rPr>
              <w:t xml:space="preserve">Membership of the </w:t>
            </w:r>
            <w:r w:rsidR="00560CB4">
              <w:rPr>
                <w:b/>
              </w:rPr>
              <w:t>DCG</w:t>
            </w:r>
          </w:p>
        </w:tc>
      </w:tr>
      <w:tr w:rsidR="00D77638" w:rsidRPr="00661E54" w14:paraId="026383DC" w14:textId="77777777" w:rsidTr="00EF4B41">
        <w:trPr>
          <w:trHeight w:val="800"/>
        </w:trPr>
        <w:tc>
          <w:tcPr>
            <w:tcW w:w="4410" w:type="dxa"/>
            <w:tcBorders>
              <w:left w:val="nil"/>
              <w:bottom w:val="single" w:sz="4" w:space="0" w:color="FFFFFF" w:themeColor="background1"/>
              <w:right w:val="nil"/>
            </w:tcBorders>
            <w:shd w:val="clear" w:color="auto" w:fill="auto"/>
          </w:tcPr>
          <w:p w14:paraId="4CCD9007" w14:textId="77777777" w:rsidR="00D77638" w:rsidRPr="00661E54" w:rsidRDefault="00460BAE">
            <w:pPr>
              <w:spacing w:after="0" w:line="240" w:lineRule="auto"/>
              <w:ind w:firstLine="0"/>
            </w:pPr>
            <w:r w:rsidRPr="00661E54">
              <w:t>New appointments of Instructional Faculty at all ranks</w:t>
            </w:r>
          </w:p>
        </w:tc>
        <w:tc>
          <w:tcPr>
            <w:tcW w:w="4940" w:type="dxa"/>
            <w:tcBorders>
              <w:left w:val="nil"/>
              <w:bottom w:val="single" w:sz="4" w:space="0" w:color="FFFFFF" w:themeColor="background1"/>
              <w:right w:val="nil"/>
            </w:tcBorders>
            <w:shd w:val="clear" w:color="auto" w:fill="auto"/>
          </w:tcPr>
          <w:p w14:paraId="5461B085" w14:textId="6EF84881" w:rsidR="00D77638" w:rsidRDefault="00460BAE">
            <w:pPr>
              <w:spacing w:after="0" w:line="240" w:lineRule="auto"/>
              <w:ind w:firstLine="0"/>
            </w:pPr>
            <w:r w:rsidRPr="00661E54">
              <w:t xml:space="preserve">All instructional faculty, tenured </w:t>
            </w:r>
            <w:proofErr w:type="gramStart"/>
            <w:r w:rsidRPr="00661E54">
              <w:t>faculty</w:t>
            </w:r>
            <w:proofErr w:type="gramEnd"/>
            <w:r w:rsidRPr="00661E54">
              <w:t xml:space="preserve"> and probationary faculty</w:t>
            </w:r>
            <w:r w:rsidR="00755E47">
              <w:t>.</w:t>
            </w:r>
          </w:p>
          <w:p w14:paraId="051B4645" w14:textId="2785D5A4" w:rsidR="009A4B9B" w:rsidRPr="00661E54" w:rsidRDefault="009A4B9B">
            <w:pPr>
              <w:spacing w:after="0" w:line="240" w:lineRule="auto"/>
              <w:ind w:firstLine="0"/>
            </w:pPr>
          </w:p>
        </w:tc>
      </w:tr>
      <w:tr w:rsidR="00D77638" w:rsidRPr="00661E54" w14:paraId="643B2631" w14:textId="77777777" w:rsidTr="009A4B9B">
        <w:tc>
          <w:tcPr>
            <w:tcW w:w="4410" w:type="dxa"/>
            <w:tcBorders>
              <w:top w:val="single" w:sz="4" w:space="0" w:color="FFFFFF" w:themeColor="background1"/>
              <w:left w:val="nil"/>
              <w:bottom w:val="nil"/>
              <w:right w:val="nil"/>
            </w:tcBorders>
            <w:shd w:val="clear" w:color="auto" w:fill="auto"/>
          </w:tcPr>
          <w:p w14:paraId="3EC64AA4" w14:textId="6CDF186B" w:rsidR="00D77638" w:rsidRPr="00FA306C" w:rsidRDefault="00460BAE">
            <w:pPr>
              <w:spacing w:after="0" w:line="240" w:lineRule="auto"/>
              <w:ind w:firstLine="0"/>
            </w:pPr>
            <w:r w:rsidRPr="00FA306C">
              <w:t xml:space="preserve">Reappointment of </w:t>
            </w:r>
            <w:r w:rsidR="00273220">
              <w:t>Assistant Professor of Instruction</w:t>
            </w:r>
            <w:r w:rsidR="00800E73">
              <w:t>/Practice</w:t>
            </w:r>
          </w:p>
        </w:tc>
        <w:tc>
          <w:tcPr>
            <w:tcW w:w="4940" w:type="dxa"/>
            <w:tcBorders>
              <w:top w:val="single" w:sz="4" w:space="0" w:color="FFFFFF" w:themeColor="background1"/>
              <w:left w:val="nil"/>
              <w:bottom w:val="nil"/>
              <w:right w:val="nil"/>
            </w:tcBorders>
            <w:shd w:val="clear" w:color="auto" w:fill="auto"/>
          </w:tcPr>
          <w:p w14:paraId="22937006" w14:textId="6600E3E4" w:rsidR="00D77638" w:rsidRPr="00FA306C" w:rsidRDefault="00460BAE" w:rsidP="0082116C">
            <w:pPr>
              <w:spacing w:after="0" w:line="240" w:lineRule="auto"/>
              <w:ind w:right="108" w:firstLine="0"/>
            </w:pPr>
            <w:r w:rsidRPr="00FA306C">
              <w:t xml:space="preserve">All </w:t>
            </w:r>
            <w:r w:rsidR="0082116C" w:rsidRPr="00FA306C">
              <w:t>tenured, tenure-track, and instructional faculty</w:t>
            </w:r>
            <w:r w:rsidR="00755E47" w:rsidRPr="00FA306C">
              <w:t>.</w:t>
            </w:r>
          </w:p>
          <w:p w14:paraId="68DF93EF" w14:textId="489F4E80" w:rsidR="0082116C" w:rsidRPr="00FA306C" w:rsidRDefault="0082116C" w:rsidP="0082116C">
            <w:pPr>
              <w:spacing w:after="0" w:line="240" w:lineRule="auto"/>
              <w:ind w:right="108" w:firstLine="0"/>
            </w:pPr>
          </w:p>
        </w:tc>
      </w:tr>
      <w:tr w:rsidR="00D77638" w:rsidRPr="00661E54" w14:paraId="4B0FA397" w14:textId="77777777" w:rsidTr="00CE7A48">
        <w:tc>
          <w:tcPr>
            <w:tcW w:w="4410" w:type="dxa"/>
            <w:tcBorders>
              <w:top w:val="nil"/>
              <w:left w:val="nil"/>
              <w:bottom w:val="nil"/>
              <w:right w:val="nil"/>
            </w:tcBorders>
            <w:shd w:val="clear" w:color="auto" w:fill="auto"/>
          </w:tcPr>
          <w:p w14:paraId="4C3514FE" w14:textId="143A5325" w:rsidR="00D77638" w:rsidRPr="00661E54" w:rsidRDefault="00460BAE">
            <w:pPr>
              <w:spacing w:after="0" w:line="240" w:lineRule="auto"/>
              <w:ind w:firstLine="0"/>
            </w:pPr>
            <w:r w:rsidRPr="00661E54">
              <w:t>Reappointment of Associate Professors of Instruction</w:t>
            </w:r>
            <w:r w:rsidR="00EF4B41">
              <w:t>/Practice</w:t>
            </w:r>
          </w:p>
        </w:tc>
        <w:tc>
          <w:tcPr>
            <w:tcW w:w="4940" w:type="dxa"/>
            <w:tcBorders>
              <w:top w:val="nil"/>
              <w:left w:val="nil"/>
              <w:bottom w:val="nil"/>
              <w:right w:val="nil"/>
            </w:tcBorders>
            <w:shd w:val="clear" w:color="auto" w:fill="auto"/>
          </w:tcPr>
          <w:p w14:paraId="2B734365" w14:textId="2EBFC2E1" w:rsidR="00D77638" w:rsidRPr="00661E54" w:rsidRDefault="00D0603F">
            <w:pPr>
              <w:spacing w:after="0" w:line="240" w:lineRule="auto"/>
              <w:ind w:right="108" w:firstLine="0"/>
            </w:pPr>
            <w:r>
              <w:t>All tenured faculty, all tenure-track Associate and Full Professors, and all Associate and</w:t>
            </w:r>
            <w:r w:rsidR="00DD4F4D">
              <w:t xml:space="preserve"> Full Professors of Instruction/Practice.</w:t>
            </w:r>
            <w:r w:rsidR="00755E47">
              <w:t xml:space="preserve"> </w:t>
            </w:r>
          </w:p>
          <w:p w14:paraId="7FED3B7A" w14:textId="77777777" w:rsidR="00D77638" w:rsidRPr="00661E54" w:rsidRDefault="00D77638">
            <w:pPr>
              <w:spacing w:after="0" w:line="240" w:lineRule="auto"/>
              <w:ind w:right="108" w:firstLine="0"/>
            </w:pPr>
          </w:p>
        </w:tc>
      </w:tr>
      <w:tr w:rsidR="00D77638" w:rsidRPr="00661E54" w14:paraId="2149952D" w14:textId="77777777" w:rsidTr="00CE7A48">
        <w:tc>
          <w:tcPr>
            <w:tcW w:w="4410" w:type="dxa"/>
            <w:tcBorders>
              <w:top w:val="nil"/>
              <w:left w:val="nil"/>
              <w:bottom w:val="nil"/>
              <w:right w:val="nil"/>
            </w:tcBorders>
            <w:shd w:val="clear" w:color="auto" w:fill="auto"/>
          </w:tcPr>
          <w:p w14:paraId="3203C3D4" w14:textId="0072C84B" w:rsidR="00D77638" w:rsidRPr="00661E54" w:rsidRDefault="00460BAE">
            <w:pPr>
              <w:spacing w:after="0" w:line="240" w:lineRule="auto"/>
              <w:ind w:firstLine="0"/>
            </w:pPr>
            <w:r w:rsidRPr="00661E54">
              <w:t>Reappointment of Professors of Instruction</w:t>
            </w:r>
            <w:r w:rsidR="005B7D4A">
              <w:t>/Practice</w:t>
            </w:r>
          </w:p>
        </w:tc>
        <w:tc>
          <w:tcPr>
            <w:tcW w:w="4940" w:type="dxa"/>
            <w:tcBorders>
              <w:top w:val="nil"/>
              <w:left w:val="nil"/>
              <w:bottom w:val="nil"/>
              <w:right w:val="nil"/>
            </w:tcBorders>
            <w:shd w:val="clear" w:color="auto" w:fill="auto"/>
          </w:tcPr>
          <w:p w14:paraId="47780004" w14:textId="6921F3E6" w:rsidR="00D77638" w:rsidRDefault="005606EC" w:rsidP="00560CB4">
            <w:pPr>
              <w:tabs>
                <w:tab w:val="left" w:pos="720"/>
                <w:tab w:val="left" w:pos="1620"/>
                <w:tab w:val="left" w:pos="1880"/>
                <w:tab w:val="left" w:pos="6120"/>
              </w:tabs>
              <w:spacing w:after="0" w:line="240" w:lineRule="auto"/>
              <w:ind w:right="108" w:firstLine="0"/>
            </w:pPr>
            <w:r>
              <w:t xml:space="preserve">All tenured faculty, all tenure-track Full Professors, and all </w:t>
            </w:r>
            <w:r w:rsidR="001C39E5">
              <w:t>Full Professors of Instruction/Practice.</w:t>
            </w:r>
          </w:p>
          <w:p w14:paraId="557C6C0A" w14:textId="3D8F8F44" w:rsidR="00DB2AC7" w:rsidRPr="00661E54" w:rsidRDefault="00DB2AC7" w:rsidP="00560CB4">
            <w:pPr>
              <w:tabs>
                <w:tab w:val="left" w:pos="720"/>
                <w:tab w:val="left" w:pos="1620"/>
                <w:tab w:val="left" w:pos="1880"/>
                <w:tab w:val="left" w:pos="6120"/>
              </w:tabs>
              <w:spacing w:after="0" w:line="240" w:lineRule="auto"/>
              <w:ind w:right="108" w:firstLine="0"/>
            </w:pPr>
          </w:p>
        </w:tc>
      </w:tr>
      <w:tr w:rsidR="00D77638" w:rsidRPr="00661E54" w14:paraId="11A7A803" w14:textId="77777777" w:rsidTr="00CE7A48">
        <w:tc>
          <w:tcPr>
            <w:tcW w:w="4410" w:type="dxa"/>
            <w:tcBorders>
              <w:top w:val="nil"/>
              <w:left w:val="nil"/>
              <w:bottom w:val="nil"/>
              <w:right w:val="nil"/>
            </w:tcBorders>
            <w:shd w:val="clear" w:color="auto" w:fill="auto"/>
          </w:tcPr>
          <w:p w14:paraId="1EEC9526" w14:textId="7764B09C" w:rsidR="00D77638" w:rsidRPr="00FA306C" w:rsidRDefault="00460BAE">
            <w:pPr>
              <w:tabs>
                <w:tab w:val="left" w:pos="720"/>
                <w:tab w:val="left" w:pos="1620"/>
                <w:tab w:val="left" w:pos="1710"/>
                <w:tab w:val="left" w:pos="6120"/>
                <w:tab w:val="left" w:pos="6300"/>
              </w:tabs>
              <w:spacing w:after="0" w:line="240" w:lineRule="auto"/>
              <w:ind w:right="108" w:firstLine="0"/>
            </w:pPr>
            <w:r w:rsidRPr="00FA306C">
              <w:t xml:space="preserve">Promotion from </w:t>
            </w:r>
            <w:r w:rsidR="00273220">
              <w:t>Assistant Professor of Instruction</w:t>
            </w:r>
            <w:r w:rsidR="00143D03">
              <w:t>/Practice</w:t>
            </w:r>
            <w:r w:rsidRPr="00FA306C">
              <w:t xml:space="preserve"> to Associate Professor </w:t>
            </w:r>
            <w:proofErr w:type="gramStart"/>
            <w:r w:rsidRPr="00FA306C">
              <w:t>of  Instruction</w:t>
            </w:r>
            <w:proofErr w:type="gramEnd"/>
            <w:r w:rsidR="00AF29A7" w:rsidRPr="00FA306C">
              <w:t>/Practice</w:t>
            </w:r>
          </w:p>
        </w:tc>
        <w:tc>
          <w:tcPr>
            <w:tcW w:w="4940" w:type="dxa"/>
            <w:tcBorders>
              <w:top w:val="nil"/>
              <w:left w:val="nil"/>
              <w:bottom w:val="nil"/>
              <w:right w:val="nil"/>
            </w:tcBorders>
            <w:shd w:val="clear" w:color="auto" w:fill="auto"/>
          </w:tcPr>
          <w:p w14:paraId="58539E9C" w14:textId="1CA37FB8" w:rsidR="00DF270D" w:rsidRPr="00FA306C" w:rsidRDefault="00DF270D" w:rsidP="00DF270D">
            <w:pPr>
              <w:spacing w:after="0" w:line="240" w:lineRule="auto"/>
              <w:ind w:right="108" w:firstLine="0"/>
            </w:pPr>
            <w:r w:rsidRPr="00FA306C">
              <w:t>All tenured faculty, all tenure-track Associate and Full Professors, and all Associate and</w:t>
            </w:r>
            <w:r w:rsidR="0030486E" w:rsidRPr="00FA306C">
              <w:t xml:space="preserve"> Full Professors of Instruction/Practice</w:t>
            </w:r>
            <w:r w:rsidR="008C6735" w:rsidRPr="00FA306C">
              <w:t>.</w:t>
            </w:r>
          </w:p>
          <w:p w14:paraId="4AED6E27" w14:textId="77777777" w:rsidR="00D77638" w:rsidRPr="00FA306C" w:rsidRDefault="00D77638">
            <w:pPr>
              <w:spacing w:after="0" w:line="240" w:lineRule="auto"/>
              <w:ind w:firstLine="0"/>
            </w:pPr>
          </w:p>
        </w:tc>
      </w:tr>
      <w:tr w:rsidR="00D77638" w:rsidRPr="00661E54" w14:paraId="300D4655" w14:textId="77777777" w:rsidTr="00CE7A48">
        <w:tc>
          <w:tcPr>
            <w:tcW w:w="4410" w:type="dxa"/>
            <w:tcBorders>
              <w:top w:val="nil"/>
              <w:left w:val="nil"/>
              <w:bottom w:val="nil"/>
              <w:right w:val="nil"/>
            </w:tcBorders>
            <w:shd w:val="clear" w:color="auto" w:fill="auto"/>
          </w:tcPr>
          <w:p w14:paraId="3E1E493C" w14:textId="7726829F" w:rsidR="00D77638" w:rsidRPr="00CE7A48" w:rsidRDefault="00CE7A48" w:rsidP="00CE7A48">
            <w:pPr>
              <w:spacing w:after="0" w:line="240" w:lineRule="auto"/>
              <w:ind w:firstLine="0"/>
            </w:pPr>
            <w:r>
              <w:t>Promotion from Associate Professor of Instruction to Professor of Instruction</w:t>
            </w:r>
            <w:r w:rsidR="008C6735">
              <w:t>/Practice</w:t>
            </w:r>
          </w:p>
        </w:tc>
        <w:tc>
          <w:tcPr>
            <w:tcW w:w="4940" w:type="dxa"/>
            <w:tcBorders>
              <w:top w:val="nil"/>
              <w:left w:val="nil"/>
              <w:bottom w:val="nil"/>
              <w:right w:val="nil"/>
            </w:tcBorders>
            <w:shd w:val="clear" w:color="auto" w:fill="auto"/>
          </w:tcPr>
          <w:p w14:paraId="3B5B13A4" w14:textId="3B000382" w:rsidR="00D77638" w:rsidRPr="00661E54" w:rsidRDefault="00CE7A48" w:rsidP="00CE7A48">
            <w:pPr>
              <w:tabs>
                <w:tab w:val="left" w:pos="720"/>
                <w:tab w:val="left" w:pos="1620"/>
                <w:tab w:val="left" w:pos="1880"/>
                <w:tab w:val="left" w:pos="6120"/>
              </w:tabs>
              <w:spacing w:after="0" w:line="240" w:lineRule="auto"/>
              <w:ind w:right="108" w:firstLine="0"/>
            </w:pPr>
            <w:r>
              <w:t xml:space="preserve">All tenured faculty, all tenure-track Full Professors, and all </w:t>
            </w:r>
            <w:r w:rsidR="00AF2B53">
              <w:t>Full Professors of Instruction/Practice</w:t>
            </w:r>
            <w:r w:rsidR="00BD5213">
              <w:t>.</w:t>
            </w:r>
          </w:p>
        </w:tc>
      </w:tr>
      <w:tr w:rsidR="00F2479E" w:rsidRPr="00661E54" w14:paraId="5873EBED" w14:textId="77777777" w:rsidTr="00CE7A48">
        <w:tc>
          <w:tcPr>
            <w:tcW w:w="4410" w:type="dxa"/>
            <w:tcBorders>
              <w:top w:val="nil"/>
              <w:left w:val="nil"/>
              <w:right w:val="nil"/>
            </w:tcBorders>
            <w:shd w:val="clear" w:color="auto" w:fill="auto"/>
          </w:tcPr>
          <w:p w14:paraId="0E0B697A" w14:textId="28177B9D" w:rsidR="00F2479E" w:rsidRPr="00661E54" w:rsidRDefault="00F2479E" w:rsidP="00F2479E">
            <w:pPr>
              <w:spacing w:after="0" w:line="240" w:lineRule="auto"/>
              <w:ind w:firstLine="0"/>
            </w:pPr>
          </w:p>
        </w:tc>
        <w:tc>
          <w:tcPr>
            <w:tcW w:w="4940" w:type="dxa"/>
            <w:tcBorders>
              <w:top w:val="nil"/>
              <w:left w:val="nil"/>
              <w:right w:val="nil"/>
            </w:tcBorders>
            <w:shd w:val="clear" w:color="auto" w:fill="auto"/>
          </w:tcPr>
          <w:p w14:paraId="66DA1C13" w14:textId="38EF1057" w:rsidR="00F2479E" w:rsidRPr="00661E54" w:rsidRDefault="00F2479E" w:rsidP="00F2479E">
            <w:pPr>
              <w:tabs>
                <w:tab w:val="left" w:pos="960"/>
              </w:tabs>
              <w:spacing w:after="0" w:line="240" w:lineRule="auto"/>
              <w:ind w:right="108" w:firstLine="0"/>
            </w:pPr>
          </w:p>
        </w:tc>
      </w:tr>
    </w:tbl>
    <w:p w14:paraId="4994D19F" w14:textId="77777777" w:rsidR="000D28A7" w:rsidRDefault="000D28A7" w:rsidP="000D28A7">
      <w:pPr>
        <w:pStyle w:val="Heading2"/>
        <w:numPr>
          <w:ilvl w:val="0"/>
          <w:numId w:val="0"/>
        </w:numPr>
      </w:pPr>
    </w:p>
    <w:p w14:paraId="722ED9EE" w14:textId="41648D7D" w:rsidR="00D77638" w:rsidRPr="00661E54" w:rsidRDefault="00460BAE" w:rsidP="00826BD1">
      <w:pPr>
        <w:pStyle w:val="Heading2"/>
        <w:numPr>
          <w:ilvl w:val="1"/>
          <w:numId w:val="8"/>
        </w:numPr>
      </w:pPr>
      <w:bookmarkStart w:id="40" w:name="_Toc158832144"/>
      <w:r w:rsidRPr="00661E54">
        <w:t>Procedures for New Appointments</w:t>
      </w:r>
      <w:bookmarkEnd w:id="40"/>
    </w:p>
    <w:p w14:paraId="0A6B82D0" w14:textId="77777777" w:rsidR="00D77638" w:rsidRPr="00661E54" w:rsidRDefault="00460BAE" w:rsidP="00826BD1">
      <w:pPr>
        <w:pStyle w:val="Heading3"/>
        <w:numPr>
          <w:ilvl w:val="2"/>
          <w:numId w:val="8"/>
        </w:numPr>
        <w:ind w:hanging="288"/>
      </w:pPr>
      <w:r w:rsidRPr="00661E54">
        <w:t>Any appointment to an instructional faculty po</w:t>
      </w:r>
      <w:r w:rsidRPr="00661E54">
        <w:softHyphen/>
        <w:t>sition of a person not then hold</w:t>
      </w:r>
      <w:r w:rsidRPr="00661E54">
        <w:softHyphen/>
        <w:t>ing such a position in the College of Engineering shall be deemed a new appointment. In case the appointment involves individuals who already hold a faculty appointment in another College of the University, all the procedures in this section will apply except for those in items 3 (b-e).</w:t>
      </w:r>
    </w:p>
    <w:p w14:paraId="59862912" w14:textId="5631BBCB" w:rsidR="00D77638" w:rsidRPr="00661E54" w:rsidRDefault="00460BAE" w:rsidP="00826BD1">
      <w:pPr>
        <w:pStyle w:val="Heading3"/>
        <w:numPr>
          <w:ilvl w:val="2"/>
          <w:numId w:val="8"/>
        </w:numPr>
        <w:ind w:hanging="288"/>
      </w:pPr>
      <w:bookmarkStart w:id="41" w:name="_Hlk38817961"/>
      <w:r w:rsidRPr="00661E54">
        <w:t xml:space="preserve">When an instructional faculty position is to be filled, the Department Executive Officer </w:t>
      </w:r>
      <w:r w:rsidR="00B52CB4">
        <w:t>shall</w:t>
      </w:r>
      <w:r w:rsidR="00A26713" w:rsidRPr="00661E54">
        <w:t xml:space="preserve"> </w:t>
      </w:r>
      <w:r w:rsidRPr="00661E54">
        <w:t>appoint and des</w:t>
      </w:r>
      <w:r w:rsidRPr="00661E54">
        <w:softHyphen/>
        <w:t xml:space="preserve">ignate the chair of a Search Committee consisting of at </w:t>
      </w:r>
      <w:r w:rsidRPr="00661E54">
        <w:lastRenderedPageBreak/>
        <w:t>least three faculty mem</w:t>
      </w:r>
      <w:r w:rsidRPr="00661E54">
        <w:softHyphen/>
        <w:t>bers hold</w:t>
      </w:r>
      <w:r w:rsidRPr="00661E54">
        <w:softHyphen/>
        <w:t>ing primary appointments in the department.  If advanta</w:t>
      </w:r>
      <w:r w:rsidRPr="00661E54">
        <w:softHyphen/>
        <w:t>geous, a faculty mem</w:t>
      </w:r>
      <w:r w:rsidRPr="00661E54">
        <w:softHyphen/>
        <w:t>ber holding sec</w:t>
      </w:r>
      <w:r w:rsidRPr="00661E54">
        <w:softHyphen/>
        <w:t>ondary ap</w:t>
      </w:r>
      <w:r w:rsidRPr="00661E54">
        <w:softHyphen/>
        <w:t>pointment in the department, or external to the department, may be added to the committee.  Alternatively, the entire departmental faculty may be designated as the Search Committee.</w:t>
      </w:r>
      <w:r w:rsidR="001F52CD">
        <w:t xml:space="preserve"> </w:t>
      </w:r>
      <w:r w:rsidR="00CC6F99">
        <w:t>In consultation with the Dean’s Office t</w:t>
      </w:r>
      <w:r w:rsidR="004410C6" w:rsidRPr="008D72F0">
        <w:t>he DEO shall appoint to the Search Committee a</w:t>
      </w:r>
      <w:r w:rsidR="004410C6">
        <w:t xml:space="preserve"> Search</w:t>
      </w:r>
      <w:r w:rsidR="004410C6" w:rsidRPr="008D72F0">
        <w:t xml:space="preserve"> Advocate with voting privileges who is a faculty member</w:t>
      </w:r>
      <w:r w:rsidR="0063591E">
        <w:t xml:space="preserve"> at the rank of Associate Professor and above,</w:t>
      </w:r>
      <w:r w:rsidR="004410C6" w:rsidRPr="008D72F0">
        <w:t xml:space="preserve"> with a primary appointment in the College of Engineering outside the hiring department.  </w:t>
      </w:r>
      <w:r w:rsidR="004410C6">
        <w:t xml:space="preserve">The Search Advocate is responsible for ensuring that the process follows the guidelines and best </w:t>
      </w:r>
      <w:r w:rsidR="004410C6" w:rsidRPr="004410C6">
        <w:t xml:space="preserve">practices </w:t>
      </w:r>
      <w:r w:rsidR="004410C6" w:rsidRPr="00C86622">
        <w:rPr>
          <w:rStyle w:val="CommentReference"/>
          <w:sz w:val="24"/>
          <w:szCs w:val="24"/>
        </w:rPr>
        <w:t>for faculty searches recommended by the University</w:t>
      </w:r>
      <w:r w:rsidR="004410C6">
        <w:rPr>
          <w:rStyle w:val="CommentReference"/>
        </w:rPr>
        <w:t>.</w:t>
      </w:r>
      <w:r w:rsidR="001F52CD" w:rsidRPr="008D72F0">
        <w:t xml:space="preserve">  </w:t>
      </w:r>
    </w:p>
    <w:bookmarkEnd w:id="41"/>
    <w:p w14:paraId="0AE28AA2" w14:textId="77777777" w:rsidR="00D77638" w:rsidRPr="00661E54" w:rsidRDefault="00460BAE" w:rsidP="00826BD1">
      <w:pPr>
        <w:pStyle w:val="Heading3"/>
        <w:numPr>
          <w:ilvl w:val="2"/>
          <w:numId w:val="8"/>
        </w:numPr>
        <w:ind w:hanging="288"/>
      </w:pPr>
      <w:r w:rsidRPr="00661E54">
        <w:t>It shall be the duty of the Search Committee to</w:t>
      </w:r>
    </w:p>
    <w:p w14:paraId="2FED1C54" w14:textId="50E612B5" w:rsidR="00D77638" w:rsidRPr="00661E54" w:rsidRDefault="00460BAE" w:rsidP="00826BD1">
      <w:pPr>
        <w:pStyle w:val="Heading4"/>
        <w:numPr>
          <w:ilvl w:val="3"/>
          <w:numId w:val="8"/>
        </w:numPr>
        <w:ind w:hanging="288"/>
      </w:pPr>
      <w:r w:rsidRPr="00661E54">
        <w:t xml:space="preserve">Ensure, in consultation with the DEO, that all </w:t>
      </w:r>
      <w:r w:rsidR="00E2300D">
        <w:t xml:space="preserve">university policies and </w:t>
      </w:r>
      <w:r w:rsidRPr="00661E54">
        <w:t xml:space="preserve">affirmative action procedures are followed in the </w:t>
      </w:r>
      <w:proofErr w:type="gramStart"/>
      <w:r w:rsidRPr="00661E54">
        <w:t>search;</w:t>
      </w:r>
      <w:proofErr w:type="gramEnd"/>
    </w:p>
    <w:p w14:paraId="36649430" w14:textId="77777777" w:rsidR="00D77638" w:rsidRPr="00661E54" w:rsidRDefault="00460BAE" w:rsidP="00826BD1">
      <w:pPr>
        <w:pStyle w:val="Heading4"/>
        <w:numPr>
          <w:ilvl w:val="3"/>
          <w:numId w:val="8"/>
        </w:numPr>
        <w:ind w:hanging="288"/>
      </w:pPr>
      <w:r w:rsidRPr="00661E54">
        <w:t xml:space="preserve">Describe the position in a form suitable for </w:t>
      </w:r>
      <w:proofErr w:type="gramStart"/>
      <w:r w:rsidRPr="00661E54">
        <w:t>advertisement;</w:t>
      </w:r>
      <w:proofErr w:type="gramEnd"/>
    </w:p>
    <w:p w14:paraId="4B95CED4" w14:textId="77777777" w:rsidR="00D77638" w:rsidRPr="00661E54" w:rsidRDefault="00460BAE" w:rsidP="00826BD1">
      <w:pPr>
        <w:pStyle w:val="Heading4"/>
        <w:numPr>
          <w:ilvl w:val="3"/>
          <w:numId w:val="8"/>
        </w:numPr>
        <w:ind w:hanging="288"/>
      </w:pPr>
      <w:r w:rsidRPr="00661E54">
        <w:t xml:space="preserve">Send notification of the vacancy to appropriate institutions, associations, publications, and </w:t>
      </w:r>
      <w:proofErr w:type="gramStart"/>
      <w:r w:rsidRPr="00661E54">
        <w:t>individuals;</w:t>
      </w:r>
      <w:proofErr w:type="gramEnd"/>
    </w:p>
    <w:p w14:paraId="4D2C693E" w14:textId="77777777" w:rsidR="00D77638" w:rsidRPr="00661E54" w:rsidRDefault="00460BAE" w:rsidP="00826BD1">
      <w:pPr>
        <w:pStyle w:val="Heading4"/>
        <w:numPr>
          <w:ilvl w:val="3"/>
          <w:numId w:val="8"/>
        </w:numPr>
        <w:ind w:hanging="288"/>
      </w:pPr>
      <w:r w:rsidRPr="00661E54">
        <w:t xml:space="preserve">Screen </w:t>
      </w:r>
      <w:proofErr w:type="gramStart"/>
      <w:r w:rsidRPr="00661E54">
        <w:t>applications;</w:t>
      </w:r>
      <w:proofErr w:type="gramEnd"/>
    </w:p>
    <w:p w14:paraId="3BCE3B47" w14:textId="37E91B43" w:rsidR="00D77638" w:rsidRPr="00661E54" w:rsidRDefault="00460BAE" w:rsidP="00826BD1">
      <w:pPr>
        <w:pStyle w:val="Heading4"/>
        <w:numPr>
          <w:ilvl w:val="3"/>
          <w:numId w:val="8"/>
        </w:numPr>
        <w:ind w:hanging="288"/>
      </w:pPr>
      <w:r w:rsidRPr="00661E54">
        <w:t xml:space="preserve">Consult with the DEO and the review committee to identify candidates to be invited for </w:t>
      </w:r>
      <w:proofErr w:type="gramStart"/>
      <w:r w:rsidRPr="00661E54">
        <w:t>interview;</w:t>
      </w:r>
      <w:proofErr w:type="gramEnd"/>
    </w:p>
    <w:p w14:paraId="71C4DEC4" w14:textId="04C7A09A" w:rsidR="00D77638" w:rsidRPr="00661E54" w:rsidRDefault="00460BAE" w:rsidP="00826BD1">
      <w:pPr>
        <w:pStyle w:val="Heading4"/>
        <w:numPr>
          <w:ilvl w:val="3"/>
          <w:numId w:val="8"/>
        </w:numPr>
        <w:ind w:hanging="288"/>
      </w:pPr>
      <w:r w:rsidRPr="00661E54">
        <w:t xml:space="preserve">Prepare a dossier for review by the DCG on each candidate to be </w:t>
      </w:r>
      <w:proofErr w:type="gramStart"/>
      <w:r w:rsidRPr="00661E54">
        <w:t>invited;</w:t>
      </w:r>
      <w:proofErr w:type="gramEnd"/>
      <w:r w:rsidRPr="00661E54">
        <w:t xml:space="preserve"> </w:t>
      </w:r>
    </w:p>
    <w:p w14:paraId="28A30C73" w14:textId="4FB62643" w:rsidR="00D77638" w:rsidRPr="00661E54" w:rsidRDefault="00460BAE" w:rsidP="00826BD1">
      <w:pPr>
        <w:pStyle w:val="Heading4"/>
        <w:numPr>
          <w:ilvl w:val="3"/>
          <w:numId w:val="8"/>
        </w:numPr>
        <w:ind w:hanging="288"/>
      </w:pPr>
      <w:r w:rsidRPr="00661E54">
        <w:t xml:space="preserve">Prepare a schedule for each candidate's visit to include </w:t>
      </w:r>
      <w:r w:rsidR="00B511C4">
        <w:t>meetings</w:t>
      </w:r>
      <w:r w:rsidR="00B511C4" w:rsidRPr="00661E54">
        <w:t xml:space="preserve"> </w:t>
      </w:r>
      <w:r w:rsidRPr="00661E54">
        <w:t>with individual faculty, the DEO, the Dean, and other appropriate persons, and a</w:t>
      </w:r>
      <w:r w:rsidR="00F40745">
        <w:t xml:space="preserve"> </w:t>
      </w:r>
      <w:r w:rsidRPr="00661E54">
        <w:t>seminar presented by the candidate to the faculty and students.</w:t>
      </w:r>
    </w:p>
    <w:p w14:paraId="12216C60" w14:textId="19E6BEB2" w:rsidR="00D77638" w:rsidRPr="00661E54" w:rsidRDefault="00460BAE" w:rsidP="00826BD1">
      <w:pPr>
        <w:pStyle w:val="Heading3"/>
        <w:numPr>
          <w:ilvl w:val="2"/>
          <w:numId w:val="8"/>
        </w:numPr>
        <w:ind w:hanging="288"/>
      </w:pPr>
      <w:r w:rsidRPr="00661E54">
        <w:t xml:space="preserve">A meeting or meetings of the </w:t>
      </w:r>
      <w:r w:rsidR="00552839">
        <w:t xml:space="preserve">DCG </w:t>
      </w:r>
      <w:r w:rsidRPr="00661E54">
        <w:t xml:space="preserve">shall be convened by </w:t>
      </w:r>
      <w:r w:rsidRPr="008F7D03">
        <w:rPr>
          <w:color w:val="000000" w:themeColor="text1"/>
        </w:rPr>
        <w:t>the DEO or</w:t>
      </w:r>
      <w:r w:rsidR="00E954FE" w:rsidRPr="008F7D03">
        <w:rPr>
          <w:color w:val="000000" w:themeColor="text1"/>
        </w:rPr>
        <w:t xml:space="preserve"> </w:t>
      </w:r>
      <w:r w:rsidRPr="00661E54">
        <w:t>the Search Committee Chair to discuss the qualifications of the candidates, to obtain a closed ballot vote at the meeting to select the candidate for the position, and to make contingency plans in the event that (1) the selected candidate rejects the offer, or (2) the DEO and/or the Dean do not concur in the review committee recommendation.</w:t>
      </w:r>
    </w:p>
    <w:p w14:paraId="27475520" w14:textId="3D94F85C" w:rsidR="00D77638" w:rsidRPr="00661E54" w:rsidRDefault="00460BAE" w:rsidP="00826BD1">
      <w:pPr>
        <w:pStyle w:val="Heading3"/>
        <w:numPr>
          <w:ilvl w:val="2"/>
          <w:numId w:val="8"/>
        </w:numPr>
        <w:ind w:hanging="288"/>
      </w:pPr>
      <w:r w:rsidRPr="00661E54">
        <w:t xml:space="preserve">After taking into account the vote of the </w:t>
      </w:r>
      <w:r w:rsidR="00D11EE2">
        <w:t>DCG</w:t>
      </w:r>
      <w:r w:rsidR="00B73134">
        <w:t xml:space="preserve"> </w:t>
      </w:r>
      <w:r w:rsidRPr="00661E54">
        <w:t xml:space="preserve">and after consulting, if feasible, members of the department who did not participate in the </w:t>
      </w:r>
      <w:r w:rsidR="00100AAC">
        <w:t>DCG</w:t>
      </w:r>
      <w:r w:rsidRPr="00661E54">
        <w:t xml:space="preserve"> meetings, the DEO shall transmit his/her own independent recommendation to the Dean along with the results of the review committee </w:t>
      </w:r>
      <w:proofErr w:type="gramStart"/>
      <w:r w:rsidRPr="00661E54">
        <w:t>vote, and</w:t>
      </w:r>
      <w:proofErr w:type="gramEnd"/>
      <w:r w:rsidRPr="00661E54">
        <w:t xml:space="preserve"> make an offer to the candidate upon receiving concurrence from the Dean.</w:t>
      </w:r>
    </w:p>
    <w:p w14:paraId="76997394" w14:textId="46C256F7" w:rsidR="00D77638" w:rsidRPr="00661E54" w:rsidRDefault="00460BAE" w:rsidP="00826BD1">
      <w:pPr>
        <w:pStyle w:val="Heading3"/>
        <w:numPr>
          <w:ilvl w:val="2"/>
          <w:numId w:val="8"/>
        </w:numPr>
        <w:ind w:hanging="288"/>
      </w:pPr>
      <w:r w:rsidRPr="00661E54">
        <w:t xml:space="preserve">If the recommendation of the DEO differs from the judgment of a majority of the </w:t>
      </w:r>
      <w:r w:rsidR="00D11EE2">
        <w:t>DCG</w:t>
      </w:r>
      <w:r w:rsidRPr="00661E54">
        <w:t xml:space="preserve">, the DEO shall report this fact to them and to the Dean together with the reason or reasons for the recommendation made.  The report to the </w:t>
      </w:r>
      <w:r w:rsidR="00100AAC">
        <w:t>DCG</w:t>
      </w:r>
      <w:r w:rsidRPr="00661E54">
        <w:t xml:space="preserve"> shall be </w:t>
      </w:r>
      <w:r w:rsidRPr="00661E54">
        <w:lastRenderedPageBreak/>
        <w:t>made at the time the DEO's recommendation is submitted to the Dean.</w:t>
      </w:r>
    </w:p>
    <w:p w14:paraId="76F42E57" w14:textId="470F8B97" w:rsidR="000C1A6C" w:rsidRDefault="00460BAE" w:rsidP="000C1A6C">
      <w:pPr>
        <w:pStyle w:val="Heading3"/>
        <w:numPr>
          <w:ilvl w:val="2"/>
          <w:numId w:val="8"/>
        </w:numPr>
        <w:ind w:hanging="288"/>
      </w:pPr>
      <w:r w:rsidRPr="00661E54">
        <w:t xml:space="preserve">If the recommendation of the Dean differs from the judgment of the DEO and/or the judgment of a majority of the </w:t>
      </w:r>
      <w:r w:rsidR="00100AAC">
        <w:t>DCG</w:t>
      </w:r>
      <w:r w:rsidRPr="00661E54">
        <w:t xml:space="preserve">, the Dean shall report this fact to the DEO and to the members of the </w:t>
      </w:r>
      <w:r w:rsidR="00100AAC">
        <w:t>DCG</w:t>
      </w:r>
      <w:r w:rsidRPr="00661E54">
        <w:t xml:space="preserve"> together with the reason or reasons for the recommendation made.  The report to the DEO and to the members of the </w:t>
      </w:r>
      <w:r w:rsidR="00100AAC">
        <w:t>DCG</w:t>
      </w:r>
      <w:r w:rsidRPr="00661E54">
        <w:t xml:space="preserve"> shall be made at the time the Dean's recommendation is made.</w:t>
      </w:r>
    </w:p>
    <w:p w14:paraId="4135A0A5" w14:textId="4A92A5EC" w:rsidR="00D77638" w:rsidRPr="00661E54" w:rsidRDefault="00460BAE" w:rsidP="00826BD1">
      <w:pPr>
        <w:pStyle w:val="Heading2"/>
        <w:numPr>
          <w:ilvl w:val="1"/>
          <w:numId w:val="8"/>
        </w:numPr>
      </w:pPr>
      <w:bookmarkStart w:id="42" w:name="_Toc158832145"/>
      <w:r w:rsidRPr="00661E54">
        <w:t>Procedures for Reappointments</w:t>
      </w:r>
      <w:bookmarkEnd w:id="42"/>
    </w:p>
    <w:p w14:paraId="4160A984" w14:textId="1F365344" w:rsidR="00D77638" w:rsidRPr="00661E54" w:rsidRDefault="00460BAE" w:rsidP="00826BD1">
      <w:pPr>
        <w:pStyle w:val="Heading3"/>
        <w:numPr>
          <w:ilvl w:val="2"/>
          <w:numId w:val="8"/>
        </w:numPr>
        <w:ind w:hanging="288"/>
      </w:pPr>
      <w:r w:rsidRPr="00661E54">
        <w:t xml:space="preserve">Evaluations for reappointment are required for all </w:t>
      </w:r>
      <w:r w:rsidR="001916A8">
        <w:t xml:space="preserve">instructional </w:t>
      </w:r>
      <w:r w:rsidRPr="00661E54">
        <w:t>fac</w:t>
      </w:r>
      <w:r w:rsidRPr="00661E54">
        <w:softHyphen/>
        <w:t>ulty</w:t>
      </w:r>
      <w:r w:rsidR="00367200">
        <w:t xml:space="preserve"> in the department, </w:t>
      </w:r>
      <w:r w:rsidRPr="00661E54">
        <w:t>whose performance, if judged to be satis</w:t>
      </w:r>
      <w:r w:rsidRPr="00661E54">
        <w:softHyphen/>
        <w:t>fac</w:t>
      </w:r>
      <w:r w:rsidRPr="00661E54">
        <w:softHyphen/>
        <w:t>tory, would normally lead to reappointment at the current rank.</w:t>
      </w:r>
    </w:p>
    <w:p w14:paraId="3454030C" w14:textId="09679E8E" w:rsidR="00D77638" w:rsidRPr="00661E54" w:rsidRDefault="00460BAE" w:rsidP="00826BD1">
      <w:pPr>
        <w:pStyle w:val="Heading3"/>
        <w:numPr>
          <w:ilvl w:val="2"/>
          <w:numId w:val="8"/>
        </w:numPr>
        <w:ind w:hanging="288"/>
      </w:pPr>
      <w:r w:rsidRPr="00661E54">
        <w:t>Such evaluations shall be undertaken and completed by a date designated by the DEO dur</w:t>
      </w:r>
      <w:r w:rsidRPr="00661E54">
        <w:softHyphen/>
        <w:t>ing the terminal year of an appointment or in the year prior to the terminal year of the ap</w:t>
      </w:r>
      <w:r w:rsidRPr="00661E54">
        <w:softHyphen/>
        <w:t>pointment if war</w:t>
      </w:r>
      <w:r w:rsidRPr="00661E54">
        <w:softHyphen/>
        <w:t>ranted by the previous Annual Review.</w:t>
      </w:r>
    </w:p>
    <w:p w14:paraId="1605B1E3" w14:textId="43ADAB60" w:rsidR="00D77638" w:rsidRPr="00661E54" w:rsidRDefault="00460BAE" w:rsidP="00826BD1">
      <w:pPr>
        <w:pStyle w:val="Heading3"/>
        <w:numPr>
          <w:ilvl w:val="2"/>
          <w:numId w:val="8"/>
        </w:numPr>
        <w:ind w:hanging="288"/>
      </w:pPr>
      <w:r w:rsidRPr="00661E54">
        <w:t>It shall be the responsibility of the DEO to</w:t>
      </w:r>
    </w:p>
    <w:p w14:paraId="738612B9" w14:textId="77777777" w:rsidR="00D77638" w:rsidRPr="00661E54" w:rsidRDefault="00460BAE" w:rsidP="00826BD1">
      <w:pPr>
        <w:pStyle w:val="Heading4"/>
        <w:numPr>
          <w:ilvl w:val="3"/>
          <w:numId w:val="8"/>
        </w:numPr>
        <w:ind w:hanging="288"/>
      </w:pPr>
      <w:r w:rsidRPr="00661E54">
        <w:t xml:space="preserve">Establish a timetable for the conduct of the </w:t>
      </w:r>
      <w:proofErr w:type="gramStart"/>
      <w:r w:rsidRPr="00661E54">
        <w:t>review;</w:t>
      </w:r>
      <w:proofErr w:type="gramEnd"/>
    </w:p>
    <w:p w14:paraId="79894B6C" w14:textId="77777777" w:rsidR="00D77638" w:rsidRPr="00661E54" w:rsidRDefault="00460BAE" w:rsidP="00826BD1">
      <w:pPr>
        <w:pStyle w:val="Heading4"/>
        <w:numPr>
          <w:ilvl w:val="3"/>
          <w:numId w:val="8"/>
        </w:numPr>
        <w:ind w:hanging="288"/>
      </w:pPr>
      <w:r w:rsidRPr="00661E54">
        <w:t>Arrange for the development of a file for each person being considered for a reappoint</w:t>
      </w:r>
      <w:r w:rsidRPr="00661E54">
        <w:softHyphen/>
        <w:t>ment with each such person given the opportunity to submit what</w:t>
      </w:r>
      <w:r w:rsidRPr="00661E54">
        <w:softHyphen/>
        <w:t xml:space="preserve">ever he/she considers relevant to the established </w:t>
      </w:r>
      <w:proofErr w:type="gramStart"/>
      <w:r w:rsidRPr="00661E54">
        <w:t>criteria;</w:t>
      </w:r>
      <w:proofErr w:type="gramEnd"/>
    </w:p>
    <w:p w14:paraId="231F7721" w14:textId="78945BC9" w:rsidR="00D77638" w:rsidRPr="00661E54" w:rsidRDefault="00460BAE" w:rsidP="00826BD1">
      <w:pPr>
        <w:pStyle w:val="Heading4"/>
        <w:numPr>
          <w:ilvl w:val="3"/>
          <w:numId w:val="8"/>
        </w:numPr>
        <w:ind w:hanging="288"/>
      </w:pPr>
      <w:r w:rsidRPr="00661E54">
        <w:t>Convene the DCG and appoint a chairperson to conduct the meeting or meetings at which the group considers what action to recommend concern</w:t>
      </w:r>
      <w:r w:rsidRPr="00661E54">
        <w:softHyphen/>
        <w:t xml:space="preserve">ing </w:t>
      </w:r>
      <w:proofErr w:type="gramStart"/>
      <w:r w:rsidRPr="00661E54">
        <w:t>reappointment;</w:t>
      </w:r>
      <w:proofErr w:type="gramEnd"/>
    </w:p>
    <w:p w14:paraId="2B85CE00" w14:textId="7CCCD70E" w:rsidR="00D77638" w:rsidRPr="00661E54" w:rsidRDefault="00460BAE" w:rsidP="000C1A6C">
      <w:pPr>
        <w:pStyle w:val="Heading4"/>
        <w:numPr>
          <w:ilvl w:val="3"/>
          <w:numId w:val="8"/>
        </w:numPr>
        <w:ind w:hanging="288"/>
      </w:pPr>
      <w:r w:rsidRPr="00661E54">
        <w:t xml:space="preserve">Transmit, after </w:t>
      </w:r>
      <w:proofErr w:type="gramStart"/>
      <w:r w:rsidRPr="00661E54">
        <w:t>taking into account</w:t>
      </w:r>
      <w:proofErr w:type="gramEnd"/>
      <w:r w:rsidRPr="00661E54">
        <w:t xml:space="preserve"> the recommenda</w:t>
      </w:r>
      <w:r w:rsidRPr="00661E54">
        <w:softHyphen/>
        <w:t>tions of the review committee and after con</w:t>
      </w:r>
      <w:r w:rsidRPr="00661E54">
        <w:softHyphen/>
        <w:t>sult</w:t>
      </w:r>
      <w:r w:rsidRPr="00661E54">
        <w:softHyphen/>
        <w:t>ing, if feasible, members of the department who did not partici</w:t>
      </w:r>
      <w:r w:rsidRPr="00661E54">
        <w:softHyphen/>
        <w:t>pate in a review of the file and the meeting, her or his own independent rec</w:t>
      </w:r>
      <w:r w:rsidRPr="00661E54">
        <w:softHyphen/>
        <w:t>ommendation to the Dean and to indi</w:t>
      </w:r>
      <w:r w:rsidRPr="00661E54">
        <w:softHyphen/>
        <w:t>cate in the transmittal letter the vote of the review committee and the results of the consultations with those named above.</w:t>
      </w:r>
    </w:p>
    <w:p w14:paraId="473CA533" w14:textId="6E922D05" w:rsidR="00D77638" w:rsidRPr="00661E54" w:rsidRDefault="00460BAE" w:rsidP="00826BD1">
      <w:pPr>
        <w:pStyle w:val="Heading3"/>
        <w:numPr>
          <w:ilvl w:val="2"/>
          <w:numId w:val="8"/>
        </w:numPr>
        <w:ind w:hanging="288"/>
      </w:pPr>
      <w:r w:rsidRPr="00661E54">
        <w:t>The DCG may appoint individual faculty or subcommittees to collect all pertinent informa</w:t>
      </w:r>
      <w:r w:rsidRPr="00661E54">
        <w:softHyphen/>
        <w:t xml:space="preserve">tion on each candidate and shall meet as often as necessary to review and evaluate the faculty member's teaching and service contributions.  The faculty member being reviewed may be interviewed by the </w:t>
      </w:r>
      <w:proofErr w:type="gramStart"/>
      <w:r w:rsidRPr="00661E54">
        <w:t>group, and</w:t>
      </w:r>
      <w:proofErr w:type="gramEnd"/>
      <w:r w:rsidRPr="00661E54">
        <w:t xml:space="preserve"> may wish to request such an inter</w:t>
      </w:r>
      <w:r w:rsidRPr="00661E54">
        <w:softHyphen/>
        <w:t>view and/or the opportunity to present a departmen</w:t>
      </w:r>
      <w:r w:rsidRPr="00661E54">
        <w:softHyphen/>
        <w:t>tal seminar describing past, present, and planned teach</w:t>
      </w:r>
      <w:r w:rsidRPr="00661E54">
        <w:softHyphen/>
        <w:t>ing and service activities.</w:t>
      </w:r>
    </w:p>
    <w:p w14:paraId="7C9A6F23" w14:textId="31A3F14E" w:rsidR="00D77638" w:rsidRPr="00661E54" w:rsidRDefault="00460BAE" w:rsidP="00826BD1">
      <w:pPr>
        <w:pStyle w:val="Heading3"/>
        <w:numPr>
          <w:ilvl w:val="2"/>
          <w:numId w:val="8"/>
        </w:numPr>
        <w:ind w:hanging="288"/>
      </w:pPr>
      <w:r w:rsidRPr="00661E54">
        <w:t>A closed ballot vote of the DCG attending the group meet</w:t>
      </w:r>
      <w:r w:rsidRPr="00661E54">
        <w:softHyphen/>
        <w:t>ing shall be taken, with the votes counted at the meet</w:t>
      </w:r>
      <w:r w:rsidRPr="00661E54">
        <w:softHyphen/>
        <w:t>ing.  A written report of the DCG's activities and evalu</w:t>
      </w:r>
      <w:r w:rsidRPr="00661E54">
        <w:softHyphen/>
        <w:t xml:space="preserve">ation shall be drafted by the group chairperson, modified as necessary and </w:t>
      </w:r>
      <w:r w:rsidRPr="00661E54">
        <w:lastRenderedPageBreak/>
        <w:t>approved by the group, and submitted by the group chairperson to the DEO.  Minority reports, if applicable, shall be appended to and submitted as part of the written report.</w:t>
      </w:r>
    </w:p>
    <w:p w14:paraId="4BA69B35" w14:textId="3ECDAB62" w:rsidR="00D77638" w:rsidRPr="00661E54" w:rsidRDefault="00460BAE" w:rsidP="00826BD1">
      <w:pPr>
        <w:pStyle w:val="Heading3"/>
        <w:numPr>
          <w:ilvl w:val="2"/>
          <w:numId w:val="8"/>
        </w:numPr>
        <w:ind w:hanging="288"/>
      </w:pPr>
      <w:r w:rsidRPr="00661E54">
        <w:t>If the recommendation of the DEO differs from the judgment of a majority of the DCG, the DEO shall report this fact to them and to the Dean together with the reason or reasons for the rec</w:t>
      </w:r>
      <w:r w:rsidRPr="00661E54">
        <w:softHyphen/>
        <w:t>ommendation made.  The report to the DCG shall be made at the time the DEO's recommendation is submitted to the Dean.</w:t>
      </w:r>
    </w:p>
    <w:p w14:paraId="519D2615" w14:textId="7F8444D6" w:rsidR="00D77638" w:rsidRPr="00661E54" w:rsidRDefault="00460BAE" w:rsidP="00826BD1">
      <w:pPr>
        <w:pStyle w:val="Heading3"/>
        <w:numPr>
          <w:ilvl w:val="2"/>
          <w:numId w:val="8"/>
        </w:numPr>
        <w:ind w:hanging="288"/>
      </w:pPr>
      <w:r w:rsidRPr="00661E54">
        <w:t>If the recommendation of the Dean differs from the judg</w:t>
      </w:r>
      <w:r w:rsidRPr="00661E54">
        <w:softHyphen/>
        <w:t>ment of the DEO and/or the judg</w:t>
      </w:r>
      <w:r w:rsidRPr="00661E54">
        <w:softHyphen/>
        <w:t>ment of a majority of the DCG, the Dean shall report this fact to the DEO and to the mem</w:t>
      </w:r>
      <w:r w:rsidRPr="00661E54">
        <w:softHyphen/>
        <w:t>bers of the DCG with the rea</w:t>
      </w:r>
      <w:r w:rsidRPr="00661E54">
        <w:softHyphen/>
        <w:t>son or reasons for the recom</w:t>
      </w:r>
      <w:r w:rsidRPr="00661E54">
        <w:softHyphen/>
        <w:t>mendation made.  The report to the DEO and to the members of the DCG shall be made in writing.</w:t>
      </w:r>
    </w:p>
    <w:p w14:paraId="14CAC7B4" w14:textId="6DDE6FCB" w:rsidR="00D77638" w:rsidRPr="00661E54" w:rsidRDefault="00460BAE" w:rsidP="00826BD1">
      <w:pPr>
        <w:pStyle w:val="Heading3"/>
        <w:numPr>
          <w:ilvl w:val="2"/>
          <w:numId w:val="8"/>
        </w:numPr>
        <w:ind w:hanging="288"/>
      </w:pPr>
      <w:r w:rsidRPr="00661E54">
        <w:t>At each level of the review and recommendation process and at the time that such informa</w:t>
      </w:r>
      <w:r w:rsidRPr="00661E54">
        <w:softHyphen/>
        <w:t>tion is available, the DEO shall inform the candi</w:t>
      </w:r>
      <w:r w:rsidRPr="00661E54">
        <w:softHyphen/>
        <w:t>date of the recom</w:t>
      </w:r>
      <w:r w:rsidRPr="00661E54">
        <w:softHyphen/>
        <w:t>mendation being forwarded to the next level.  Following the complete review and recom</w:t>
      </w:r>
      <w:r w:rsidRPr="00661E54">
        <w:softHyphen/>
        <w:t>mendation process, the DEO shall meet with each candidate not recommended for reappointment to review the recommendations of the review committee, the DEO, and the Dean, and to inform the candidate of the griev</w:t>
      </w:r>
      <w:r w:rsidRPr="00661E54">
        <w:softHyphen/>
        <w:t>ance procedures available should the candidate wish to contest the final decision.</w:t>
      </w:r>
    </w:p>
    <w:p w14:paraId="425BF039" w14:textId="77777777" w:rsidR="00D77638" w:rsidRPr="00661E54" w:rsidRDefault="00460BAE" w:rsidP="00826BD1">
      <w:pPr>
        <w:pStyle w:val="Heading2"/>
        <w:numPr>
          <w:ilvl w:val="1"/>
          <w:numId w:val="8"/>
        </w:numPr>
      </w:pPr>
      <w:bookmarkStart w:id="43" w:name="_Toc158832146"/>
      <w:r w:rsidRPr="00661E54">
        <w:t>Procedures for Promotion</w:t>
      </w:r>
      <w:bookmarkEnd w:id="43"/>
    </w:p>
    <w:p w14:paraId="317D9982" w14:textId="33D4B6AB" w:rsidR="00501DA8" w:rsidRDefault="00460BAE" w:rsidP="00501DA8">
      <w:pPr>
        <w:pStyle w:val="Heading3"/>
        <w:numPr>
          <w:ilvl w:val="2"/>
          <w:numId w:val="8"/>
        </w:numPr>
        <w:ind w:hanging="288"/>
      </w:pPr>
      <w:r w:rsidRPr="00661E54">
        <w:t>University of I</w:t>
      </w:r>
      <w:r w:rsidR="00BD5213">
        <w:t>owa policy shall apply to all</w:t>
      </w:r>
      <w:r w:rsidRPr="00661E54">
        <w:t xml:space="preserve"> departmental peer reviews leading to recommendations concerning promotions.  Departmental and Collegiate procedures employed in such reviews shall be con</w:t>
      </w:r>
      <w:r w:rsidRPr="00661E54">
        <w:softHyphen/>
        <w:t>sistent with t</w:t>
      </w:r>
      <w:r w:rsidR="00385A52">
        <w:t xml:space="preserve">he Office of the Provost’s Procedures for Instructional-track </w:t>
      </w:r>
      <w:r w:rsidR="007C7112">
        <w:t xml:space="preserve">Promotion Decision Making.  </w:t>
      </w:r>
      <w:hyperlink r:id="rId11" w:history="1">
        <w:r w:rsidR="00501DA8" w:rsidRPr="0048714B">
          <w:rPr>
            <w:rStyle w:val="Hyperlink"/>
          </w:rPr>
          <w:t>https://provost.uiowa.edu/sites/provost.uiowa.edu/files/IF_Promotion%20procedure_final_4-12-16.pdf</w:t>
        </w:r>
      </w:hyperlink>
      <w:r w:rsidR="00501DA8">
        <w:t xml:space="preserve">. </w:t>
      </w:r>
    </w:p>
    <w:p w14:paraId="77F48C96" w14:textId="51E8DFBC" w:rsidR="000E66E6" w:rsidRDefault="000E66E6" w:rsidP="00501DA8">
      <w:pPr>
        <w:pStyle w:val="Heading3"/>
        <w:numPr>
          <w:ilvl w:val="0"/>
          <w:numId w:val="0"/>
        </w:numPr>
        <w:ind w:left="1440"/>
      </w:pPr>
      <w:r>
        <w:t xml:space="preserve">An instructional faculty member shall initiate a review with a written request to the </w:t>
      </w:r>
      <w:r w:rsidR="00501DA8">
        <w:t xml:space="preserve">         </w:t>
      </w:r>
      <w:r w:rsidR="00DE2389">
        <w:t xml:space="preserve"> </w:t>
      </w:r>
      <w:r w:rsidR="00666308">
        <w:t>DEO i</w:t>
      </w:r>
      <w:r w:rsidR="00501DA8">
        <w:t>n accordance with the Unive</w:t>
      </w:r>
      <w:r w:rsidR="00666308">
        <w:t>rsity Operations Manual III-10.1</w:t>
      </w:r>
      <w:r w:rsidR="00501DA8">
        <w:t>1f.</w:t>
      </w:r>
    </w:p>
    <w:p w14:paraId="54ACCD12" w14:textId="15A4BF51" w:rsidR="00D77638" w:rsidRPr="00661E54" w:rsidRDefault="00460BAE" w:rsidP="00826BD1">
      <w:pPr>
        <w:pStyle w:val="ListParagraph"/>
        <w:numPr>
          <w:ilvl w:val="2"/>
          <w:numId w:val="8"/>
        </w:numPr>
        <w:tabs>
          <w:tab w:val="clear" w:pos="2340"/>
          <w:tab w:val="left" w:pos="1440"/>
          <w:tab w:val="left" w:pos="6660"/>
        </w:tabs>
        <w:ind w:left="1170" w:right="108"/>
      </w:pPr>
      <w:r w:rsidRPr="00661E54">
        <w:t>It shall be the duty of the DEO:</w:t>
      </w:r>
    </w:p>
    <w:p w14:paraId="04440D2D" w14:textId="3A75C519" w:rsidR="00D77638" w:rsidRPr="00661E54" w:rsidRDefault="00460BAE" w:rsidP="00984897">
      <w:pPr>
        <w:pStyle w:val="Heading4"/>
        <w:numPr>
          <w:ilvl w:val="3"/>
          <w:numId w:val="8"/>
        </w:numPr>
        <w:tabs>
          <w:tab w:val="left" w:pos="1890"/>
        </w:tabs>
        <w:ind w:hanging="270"/>
      </w:pPr>
      <w:r w:rsidRPr="00661E54">
        <w:t>To establish a timetable for the conduct of the review (see item 9).</w:t>
      </w:r>
    </w:p>
    <w:p w14:paraId="41BA1E76" w14:textId="67462DBC" w:rsidR="00D77638" w:rsidRPr="00661E54" w:rsidRDefault="00460BAE" w:rsidP="00826BD1">
      <w:pPr>
        <w:pStyle w:val="Heading4"/>
        <w:numPr>
          <w:ilvl w:val="3"/>
          <w:numId w:val="8"/>
        </w:numPr>
        <w:ind w:hanging="288"/>
      </w:pPr>
      <w:r w:rsidRPr="00661E54">
        <w:t xml:space="preserve">To arrange for the development of a promotion file for each person being considered for promotion, with each person given the opportunity to submit whatever he/she considers relevant to the established criteria.  Materials which could not have been available at the time of preparation of this file may be added </w:t>
      </w:r>
      <w:proofErr w:type="gramStart"/>
      <w:r w:rsidRPr="00661E54">
        <w:t>at a later date</w:t>
      </w:r>
      <w:proofErr w:type="gramEnd"/>
      <w:r w:rsidRPr="00661E54">
        <w:t xml:space="preserve"> by the candidate through the DEO.  Where the availability of this material prior to the completion of the deliberations of the review committee can be anticipated, the expected additions should be identified at the </w:t>
      </w:r>
      <w:r w:rsidRPr="00661E54">
        <w:lastRenderedPageBreak/>
        <w:t>time the file is submitted, and the new material should be added to the file as it becomes available.</w:t>
      </w:r>
    </w:p>
    <w:p w14:paraId="61A8B395" w14:textId="4CC0B9F8" w:rsidR="00D77638" w:rsidRPr="00661E54" w:rsidRDefault="00FE1F8F" w:rsidP="00826BD1">
      <w:pPr>
        <w:pStyle w:val="Heading4"/>
        <w:numPr>
          <w:ilvl w:val="3"/>
          <w:numId w:val="8"/>
        </w:numPr>
        <w:ind w:hanging="288"/>
      </w:pPr>
      <w:r>
        <w:t xml:space="preserve">To obtain </w:t>
      </w:r>
      <w:r w:rsidR="00460BAE" w:rsidRPr="00661E54">
        <w:t xml:space="preserve">reviews of the candidate’s teaching.  </w:t>
      </w:r>
      <w:r w:rsidR="00AC14AB" w:rsidRPr="00661E54">
        <w:t>After consultation with the DCG, the DEO will obtain 8-10 evaluation letters from a sample of students who have taken the candidate’s courses; evaluation letters from other faculty members closely involved with the candidate’s teaching through team teach</w:t>
      </w:r>
      <w:r w:rsidR="00386DA8">
        <w:t>ing, course coordination, etc. as appropriate</w:t>
      </w:r>
      <w:r w:rsidR="00D37C2F">
        <w:t xml:space="preserve"> based on the faculty member’s </w:t>
      </w:r>
      <w:r w:rsidR="00F1369F">
        <w:t xml:space="preserve">employment agreement.  </w:t>
      </w:r>
      <w:r w:rsidR="00460BAE" w:rsidRPr="00661E54">
        <w:t>The DEO shall take particular care to keep the identity of reviewers confidential.  The portion of the candidate’s work that each reviewer is to evaluate shall be determined by the DEO in consultation with the DCG with the aim of obtaining a comprehensive assessment of the quality and scope of the candidate’s teaching contributions.  The process of selecting reviewers will commence on or before September 1.</w:t>
      </w:r>
    </w:p>
    <w:p w14:paraId="1FFE3844" w14:textId="3F23C22E" w:rsidR="00D77638" w:rsidRPr="00661E54" w:rsidRDefault="00460BAE" w:rsidP="00826BD1">
      <w:pPr>
        <w:pStyle w:val="Heading4"/>
        <w:numPr>
          <w:ilvl w:val="3"/>
          <w:numId w:val="8"/>
        </w:numPr>
        <w:ind w:hanging="288"/>
      </w:pPr>
      <w:r w:rsidRPr="00661E54">
        <w:t>To convene the DCG to review all eligible faculty and identify the candidates to be considered for promotion and to appoint the chairperson of the review committee.</w:t>
      </w:r>
    </w:p>
    <w:p w14:paraId="76C15A12" w14:textId="59DD3447" w:rsidR="00D77638" w:rsidRPr="00661E54" w:rsidRDefault="00460BAE" w:rsidP="00826BD1">
      <w:pPr>
        <w:pStyle w:val="Heading4"/>
        <w:numPr>
          <w:ilvl w:val="3"/>
          <w:numId w:val="8"/>
        </w:numPr>
        <w:ind w:hanging="288"/>
      </w:pPr>
      <w:r w:rsidRPr="00661E54">
        <w:t>The DEO shall send to the candidate a copy of the internal peer evaluations of the candidate’s teaching and service.  The candidate will have a total of five working days to submit corrections to statements of fact in these evaluations.</w:t>
      </w:r>
    </w:p>
    <w:p w14:paraId="72A96EC7" w14:textId="58A8877B" w:rsidR="00D77638" w:rsidRPr="00661E54" w:rsidRDefault="00460BAE" w:rsidP="00826BD1">
      <w:pPr>
        <w:pStyle w:val="Heading4"/>
        <w:numPr>
          <w:ilvl w:val="3"/>
          <w:numId w:val="8"/>
        </w:numPr>
        <w:ind w:hanging="288"/>
      </w:pPr>
      <w:r w:rsidRPr="00661E54">
        <w:t>After taking into account the recommendations of the DCG and after consulting, if feasible, members of the department who did not participate in a</w:t>
      </w:r>
      <w:r w:rsidR="00984897">
        <w:t xml:space="preserve"> review of the pro</w:t>
      </w:r>
      <w:r w:rsidR="00984897">
        <w:softHyphen/>
        <w:t>motion</w:t>
      </w:r>
      <w:r w:rsidRPr="00661E54">
        <w:t xml:space="preserve"> file and/or the meeting of the review committee when the final recommendation was made, to transmit an independent recommendation to the Dean together with the promotion record (including appendices), and to indicate in the transmittal letter the vote of the review committee and the results of consultations with those named above.</w:t>
      </w:r>
    </w:p>
    <w:p w14:paraId="690BCD70" w14:textId="1331F8A4" w:rsidR="00D77638" w:rsidRPr="00661E54" w:rsidRDefault="00460BAE" w:rsidP="00826BD1">
      <w:pPr>
        <w:pStyle w:val="Heading4"/>
        <w:numPr>
          <w:ilvl w:val="3"/>
          <w:numId w:val="8"/>
        </w:numPr>
        <w:ind w:hanging="288"/>
      </w:pPr>
      <w:r w:rsidRPr="00661E54">
        <w:t xml:space="preserve">The DEO is responsible for those functions assigned to the DEO in the University </w:t>
      </w:r>
      <w:r w:rsidR="00F7614B">
        <w:t xml:space="preserve">of Iowa Operations Manual </w:t>
      </w:r>
      <w:r w:rsidRPr="00661E54">
        <w:t xml:space="preserve">except when they are assigned to others by </w:t>
      </w:r>
      <w:proofErr w:type="gramStart"/>
      <w:r w:rsidRPr="00661E54">
        <w:t>College</w:t>
      </w:r>
      <w:proofErr w:type="gramEnd"/>
      <w:r w:rsidRPr="00661E54">
        <w:t xml:space="preserve"> policy.  The DEO’s designee may assist the DEO in performing those functions related to communi</w:t>
      </w:r>
      <w:r w:rsidRPr="00661E54">
        <w:softHyphen/>
        <w:t>cating with external reviewers or with members of the DC</w:t>
      </w:r>
      <w:r w:rsidR="004E173B">
        <w:t>G</w:t>
      </w:r>
      <w:r w:rsidR="0034491A">
        <w:t xml:space="preserve"> regarding external review</w:t>
      </w:r>
      <w:r w:rsidR="0034491A">
        <w:softHyphen/>
        <w:t xml:space="preserve">ers </w:t>
      </w:r>
      <w:r w:rsidR="004E173B">
        <w:t>as appropriate</w:t>
      </w:r>
      <w:r w:rsidR="00100B05">
        <w:t xml:space="preserve"> based on the faculty member’s employment agreement. </w:t>
      </w:r>
      <w:r w:rsidRPr="00661E54">
        <w:t xml:space="preserve"> The DEO shall keep a record of comments about external reviewers submitted by the DEO’s designee.  The DEO will also keep a record of correspondence and other com</w:t>
      </w:r>
      <w:r w:rsidRPr="00661E54">
        <w:softHyphen/>
        <w:t>munications between the DEO’s designee and external reviewers.</w:t>
      </w:r>
    </w:p>
    <w:p w14:paraId="04D5395A" w14:textId="5436576D" w:rsidR="00D77638" w:rsidRPr="00661E54" w:rsidRDefault="00460BAE" w:rsidP="00826BD1">
      <w:pPr>
        <w:pStyle w:val="Heading3"/>
        <w:numPr>
          <w:ilvl w:val="2"/>
          <w:numId w:val="8"/>
        </w:numPr>
        <w:ind w:hanging="288"/>
      </w:pPr>
      <w:r w:rsidRPr="00661E54">
        <w:t>Although the DCG may appoint individual faculty</w:t>
      </w:r>
      <w:r w:rsidR="0057473D">
        <w:t xml:space="preserve"> members</w:t>
      </w:r>
      <w:r w:rsidRPr="00661E54">
        <w:t xml:space="preserve"> or subcommittees to collect all perti</w:t>
      </w:r>
      <w:r w:rsidRPr="00661E54">
        <w:softHyphen/>
        <w:t xml:space="preserve">nent information on each candidate, peer evaluations of teaching and service will be conducted and </w:t>
      </w:r>
      <w:proofErr w:type="gramStart"/>
      <w:r w:rsidRPr="00661E54">
        <w:t>entered into</w:t>
      </w:r>
      <w:proofErr w:type="gramEnd"/>
      <w:r w:rsidRPr="00661E54">
        <w:t xml:space="preserve"> the promotion record by the DCG.  The DCG shall meet as often as necessary to review and evalu</w:t>
      </w:r>
      <w:r w:rsidRPr="00661E54">
        <w:softHyphen/>
        <w:t>ate the faculty member's teaching</w:t>
      </w:r>
      <w:r w:rsidR="00ED3421">
        <w:t>, professional productivity,</w:t>
      </w:r>
      <w:r w:rsidRPr="00661E54">
        <w:t xml:space="preserve"> and service contributions.  When appropriate, the DCG may solicit information and assess</w:t>
      </w:r>
      <w:r w:rsidRPr="00661E54">
        <w:softHyphen/>
        <w:t>ments of a candidate’s teaching or service from knowledgeable indi</w:t>
      </w:r>
      <w:r w:rsidRPr="00661E54">
        <w:softHyphen/>
        <w:t>viduals from within or out</w:t>
      </w:r>
      <w:r w:rsidRPr="00661E54">
        <w:softHyphen/>
        <w:t xml:space="preserve">side of the University.  </w:t>
      </w:r>
      <w:r w:rsidRPr="00661E54">
        <w:lastRenderedPageBreak/>
        <w:t>The DCG may also solicit information and assessments of a candidate's teaching from knowledgeable individuals from within the Univer</w:t>
      </w:r>
      <w:r w:rsidRPr="00661E54">
        <w:softHyphen/>
        <w:t xml:space="preserve">sity.  The faculty member being reviewed may be interviewed by the </w:t>
      </w:r>
      <w:proofErr w:type="gramStart"/>
      <w:r w:rsidRPr="00661E54">
        <w:t>group, and</w:t>
      </w:r>
      <w:proofErr w:type="gramEnd"/>
      <w:r w:rsidRPr="00661E54">
        <w:t xml:space="preserve"> may wish to request such an interview and/or the opportunity to present a departmen</w:t>
      </w:r>
      <w:r w:rsidRPr="00661E54">
        <w:softHyphen/>
        <w:t>tal semi</w:t>
      </w:r>
      <w:r w:rsidRPr="00661E54">
        <w:softHyphen/>
        <w:t>nar describing past, present, and planned teach</w:t>
      </w:r>
      <w:r w:rsidRPr="00661E54">
        <w:softHyphen/>
        <w:t>ing and service activi</w:t>
      </w:r>
      <w:r w:rsidRPr="00661E54">
        <w:softHyphen/>
        <w:t>ties.  In accordance wi</w:t>
      </w:r>
      <w:r w:rsidR="00D57973">
        <w:t xml:space="preserve">th </w:t>
      </w:r>
      <w:proofErr w:type="gramStart"/>
      <w:r w:rsidR="00D57973">
        <w:t>University</w:t>
      </w:r>
      <w:proofErr w:type="gramEnd"/>
      <w:r w:rsidR="00D57973">
        <w:t xml:space="preserve"> policy, the DCG's</w:t>
      </w:r>
      <w:r w:rsidRPr="00661E54">
        <w:t xml:space="preserve"> peer evaluation report on the candidate's </w:t>
      </w:r>
      <w:r w:rsidR="005768D1">
        <w:t>professional productivity or service</w:t>
      </w:r>
      <w:r w:rsidRPr="00661E54">
        <w:t xml:space="preserve"> </w:t>
      </w:r>
      <w:r w:rsidR="0057473D">
        <w:t xml:space="preserve">may </w:t>
      </w:r>
      <w:r w:rsidRPr="00661E54">
        <w:t>analyze the relevant materials in the promotion record.</w:t>
      </w:r>
    </w:p>
    <w:p w14:paraId="0305E83F" w14:textId="4B53FBE2" w:rsidR="00D77638" w:rsidRPr="00661E54" w:rsidRDefault="00460BAE" w:rsidP="00826BD1">
      <w:pPr>
        <w:pStyle w:val="Heading3"/>
        <w:numPr>
          <w:ilvl w:val="2"/>
          <w:numId w:val="8"/>
        </w:numPr>
        <w:ind w:hanging="288"/>
      </w:pPr>
      <w:r w:rsidRPr="00661E54">
        <w:t xml:space="preserve">A closed ballot vote of the DCG members attending the group meeting shall be taken, with the votes counted at the meeting.  It is highly desirable that the DCG meeting at which the final vote is taken be held at a time when all DCG members can attend. The DCG chair shall give at least one week’s notice of this </w:t>
      </w:r>
      <w:proofErr w:type="gramStart"/>
      <w:r w:rsidRPr="00661E54">
        <w:t>meeting, unless</w:t>
      </w:r>
      <w:proofErr w:type="gramEnd"/>
      <w:r w:rsidRPr="00661E54">
        <w:t xml:space="preserve"> an earlier meeting with full attendance is possible.  Absentee voting by members of the DCG via conference call is appropriate, but voting must be anonymous. To make the vote anonymous, the member missing will participate in the meeting by teleconference and leave two ballots, one yes, one no, each in an envelope inside another envelope. The appropriate vote will be made by having the person designate which envelop contains the official vote.  A simple majorit</w:t>
      </w:r>
      <w:r w:rsidR="00853849">
        <w:t>y voting in favor of promotion</w:t>
      </w:r>
      <w:r w:rsidRPr="00661E54">
        <w:t xml:space="preserve"> will represent a positive recommendation by the DCG.  A written report of the DCG's activities and evaluation shall be drafted by the group chairperson, modified as necessary and approved by the group, and submitted by the group chairperson to the DEO and candidate.  The report provided to the candidate shall be redacted as necessary to protect the confidentiality of all individuals who directly or indirectly contributed to the report.  Minority reports, if applicable, shall be appended to and submitted as part of the written report.</w:t>
      </w:r>
      <w:r w:rsidR="00F659D8">
        <w:t xml:space="preserve"> As provided for by </w:t>
      </w:r>
      <w:proofErr w:type="gramStart"/>
      <w:r w:rsidR="00F659D8">
        <w:t>University</w:t>
      </w:r>
      <w:proofErr w:type="gramEnd"/>
      <w:r w:rsidR="00F659D8">
        <w:t xml:space="preserve"> policy, the candidate will have five working days to access the promotion file and another five working days to submit a letter of response and additional information.</w:t>
      </w:r>
    </w:p>
    <w:p w14:paraId="14AB755B" w14:textId="3332D3CF" w:rsidR="00D77638" w:rsidRPr="00661E54" w:rsidRDefault="00460BAE" w:rsidP="00826BD1">
      <w:pPr>
        <w:pStyle w:val="Heading3"/>
        <w:numPr>
          <w:ilvl w:val="2"/>
          <w:numId w:val="8"/>
        </w:numPr>
        <w:ind w:hanging="288"/>
      </w:pPr>
      <w:r w:rsidRPr="00661E54">
        <w:t>If the recommendation of the DEO differs from the judgment of a majority of the DCG, the DEO shall report this fact to them and to the Dean together with the reason or reasons for the recommendation made.  The report to the review committee shall be made in writing at the time the Department Executive Officer's recom</w:t>
      </w:r>
      <w:r w:rsidRPr="00661E54">
        <w:softHyphen/>
        <w:t>mendation is submitted to the Dean.</w:t>
      </w:r>
    </w:p>
    <w:p w14:paraId="10C1EDF2" w14:textId="0434B629" w:rsidR="00D77638" w:rsidRPr="00661E54" w:rsidRDefault="00460BAE" w:rsidP="00826BD1">
      <w:pPr>
        <w:pStyle w:val="Heading3"/>
        <w:numPr>
          <w:ilvl w:val="2"/>
          <w:numId w:val="8"/>
        </w:numPr>
        <w:ind w:hanging="288"/>
      </w:pPr>
      <w:r w:rsidRPr="00661E54">
        <w:t>Any new material that becomes available after the submission of the DEO’s recommendation to the Dean, that could not have been available earlier, and which, in the opinion of the DEO, may have a substantive impact on the Dean’s evaluation, should be forwarded to the Dean.  If, in the Dean’s judgment, this material erodes the basis of the DCG or DEO’s recommendation, the Dean should return the case to the department for further consid</w:t>
      </w:r>
      <w:r w:rsidRPr="00661E54">
        <w:softHyphen/>
        <w:t>eration.</w:t>
      </w:r>
    </w:p>
    <w:p w14:paraId="7AD204C6" w14:textId="6EBA3A48" w:rsidR="00D77638" w:rsidRPr="00661E54" w:rsidRDefault="00460BAE" w:rsidP="00826BD1">
      <w:pPr>
        <w:pStyle w:val="Heading3"/>
        <w:numPr>
          <w:ilvl w:val="2"/>
          <w:numId w:val="8"/>
        </w:numPr>
        <w:ind w:hanging="288"/>
      </w:pPr>
      <w:r w:rsidRPr="00661E54">
        <w:t xml:space="preserve">If the recommendation of the Dean differs from the judgment of the DEO and/or the judgment of a majority of the DCG, the Dean shall report this fact to the DEO and to the members of the DCG with the reason or reasons for the recommendation </w:t>
      </w:r>
      <w:r w:rsidRPr="00661E54">
        <w:lastRenderedPageBreak/>
        <w:t>made.  The report to the DEO and to the members of the review committee shall be made in writing.</w:t>
      </w:r>
    </w:p>
    <w:p w14:paraId="49BC7867" w14:textId="4013343A" w:rsidR="00863CC9" w:rsidRDefault="00DC2AF5" w:rsidP="00826BD1">
      <w:pPr>
        <w:pStyle w:val="Heading3"/>
        <w:numPr>
          <w:ilvl w:val="2"/>
          <w:numId w:val="8"/>
        </w:numPr>
        <w:ind w:hanging="288"/>
      </w:pPr>
      <w:r>
        <w:t xml:space="preserve">If the DEO’s recommendation is negative, </w:t>
      </w:r>
      <w:r w:rsidRPr="00D40FC5">
        <w:t xml:space="preserve">the </w:t>
      </w:r>
      <w:r>
        <w:t xml:space="preserve">DEO </w:t>
      </w:r>
      <w:r w:rsidRPr="00D40FC5">
        <w:t>will provide the candidate with a copy of the recommendation</w:t>
      </w:r>
      <w:r>
        <w:t xml:space="preserve"> </w:t>
      </w:r>
      <w:proofErr w:type="gramStart"/>
      <w:r>
        <w:t>a</w:t>
      </w:r>
      <w:r w:rsidRPr="00D40FC5">
        <w:t>t</w:t>
      </w:r>
      <w:r w:rsidR="00460BAE" w:rsidRPr="00661E54">
        <w:t xml:space="preserve"> the same time that</w:t>
      </w:r>
      <w:proofErr w:type="gramEnd"/>
      <w:r w:rsidR="00460BAE" w:rsidRPr="00661E54">
        <w:t xml:space="preserve"> the promotion file is submitted to the Dean</w:t>
      </w:r>
      <w:r>
        <w:t>.</w:t>
      </w:r>
      <w:r w:rsidR="00460BAE" w:rsidRPr="00661E54">
        <w:t xml:space="preserve"> the DEO will provide th</w:t>
      </w:r>
      <w:r w:rsidR="00AC58B5">
        <w:t>e candidate with a copy of the DEO’</w:t>
      </w:r>
      <w:r w:rsidR="00460BAE" w:rsidRPr="00661E54">
        <w:t xml:space="preserve">s recommendation.  </w:t>
      </w:r>
      <w:r w:rsidRPr="00D40FC5">
        <w:t xml:space="preserve">As provided for by </w:t>
      </w:r>
      <w:proofErr w:type="gramStart"/>
      <w:r w:rsidRPr="00D40FC5">
        <w:t>University</w:t>
      </w:r>
      <w:proofErr w:type="gramEnd"/>
      <w:r w:rsidRPr="00D40FC5">
        <w:t xml:space="preserve"> policy, the candidate </w:t>
      </w:r>
      <w:r>
        <w:t xml:space="preserve">may request access to the promotion file within five working days. The promotion file provided to the candidate will have the following redactions: (a) </w:t>
      </w:r>
      <w:r w:rsidRPr="00392AAE">
        <w:t>the</w:t>
      </w:r>
      <w:r w:rsidRPr="00392AAE">
        <w:rPr>
          <w:spacing w:val="-4"/>
        </w:rPr>
        <w:t xml:space="preserve"> </w:t>
      </w:r>
      <w:r w:rsidRPr="00392AAE">
        <w:t>reviews</w:t>
      </w:r>
      <w:r w:rsidRPr="00392AAE">
        <w:rPr>
          <w:spacing w:val="-4"/>
        </w:rPr>
        <w:t xml:space="preserve"> </w:t>
      </w:r>
      <w:r w:rsidRPr="00392AAE">
        <w:t>of</w:t>
      </w:r>
      <w:r w:rsidRPr="00392AAE">
        <w:rPr>
          <w:spacing w:val="-4"/>
        </w:rPr>
        <w:t xml:space="preserve"> </w:t>
      </w:r>
      <w:r w:rsidRPr="00392AAE">
        <w:t>the</w:t>
      </w:r>
      <w:r w:rsidRPr="00392AAE">
        <w:rPr>
          <w:spacing w:val="-6"/>
        </w:rPr>
        <w:t xml:space="preserve"> </w:t>
      </w:r>
      <w:r w:rsidRPr="00392AAE">
        <w:t>candidate’s</w:t>
      </w:r>
      <w:r w:rsidRPr="00392AAE">
        <w:rPr>
          <w:spacing w:val="-5"/>
        </w:rPr>
        <w:t xml:space="preserve"> </w:t>
      </w:r>
      <w:r w:rsidRPr="00392AAE">
        <w:t>scholarship</w:t>
      </w:r>
      <w:r w:rsidRPr="00392AAE">
        <w:rPr>
          <w:spacing w:val="-4"/>
        </w:rPr>
        <w:t xml:space="preserve"> </w:t>
      </w:r>
      <w:r w:rsidRPr="00392AAE">
        <w:t>must</w:t>
      </w:r>
      <w:r w:rsidRPr="00392AAE">
        <w:rPr>
          <w:spacing w:val="-4"/>
        </w:rPr>
        <w:t xml:space="preserve"> </w:t>
      </w:r>
      <w:r w:rsidRPr="00392AAE">
        <w:t>be</w:t>
      </w:r>
      <w:r w:rsidRPr="00392AAE">
        <w:rPr>
          <w:spacing w:val="-4"/>
        </w:rPr>
        <w:t xml:space="preserve"> </w:t>
      </w:r>
      <w:r w:rsidRPr="00392AAE">
        <w:t>redacted</w:t>
      </w:r>
      <w:r w:rsidRPr="00392AAE">
        <w:rPr>
          <w:spacing w:val="-4"/>
        </w:rPr>
        <w:t xml:space="preserve"> </w:t>
      </w:r>
      <w:r w:rsidRPr="00392AAE">
        <w:t>as appropriate</w:t>
      </w:r>
      <w:r>
        <w:t>,</w:t>
      </w:r>
      <w:r w:rsidRPr="00392AAE">
        <w:t xml:space="preserve"> to protect the confidentiality</w:t>
      </w:r>
      <w:r>
        <w:t xml:space="preserve"> of reviewers; (b) </w:t>
      </w:r>
      <w:r w:rsidRPr="00392AAE">
        <w:t xml:space="preserve"> </w:t>
      </w:r>
      <w:r>
        <w:t xml:space="preserve">any </w:t>
      </w:r>
      <w:r w:rsidRPr="00392AAE">
        <w:t>comments</w:t>
      </w:r>
      <w:r w:rsidRPr="00392AAE">
        <w:rPr>
          <w:spacing w:val="-4"/>
        </w:rPr>
        <w:t xml:space="preserve"> </w:t>
      </w:r>
      <w:r w:rsidRPr="00392AAE">
        <w:t>in</w:t>
      </w:r>
      <w:r w:rsidRPr="00392AAE">
        <w:rPr>
          <w:spacing w:val="-4"/>
        </w:rPr>
        <w:t xml:space="preserve"> </w:t>
      </w:r>
      <w:r w:rsidRPr="00392AAE">
        <w:t>the</w:t>
      </w:r>
      <w:r w:rsidRPr="00392AAE">
        <w:rPr>
          <w:spacing w:val="-4"/>
        </w:rPr>
        <w:t xml:space="preserve"> </w:t>
      </w:r>
      <w:r w:rsidRPr="00392AAE">
        <w:t>Promotion</w:t>
      </w:r>
      <w:r w:rsidRPr="00392AAE">
        <w:rPr>
          <w:spacing w:val="-4"/>
        </w:rPr>
        <w:t xml:space="preserve"> </w:t>
      </w:r>
      <w:r w:rsidRPr="00392AAE">
        <w:t>Record</w:t>
      </w:r>
      <w:r w:rsidRPr="00392AAE">
        <w:rPr>
          <w:spacing w:val="-4"/>
        </w:rPr>
        <w:t xml:space="preserve"> </w:t>
      </w:r>
      <w:r w:rsidRPr="00392AAE">
        <w:t>referring</w:t>
      </w:r>
      <w:r w:rsidRPr="00392AAE">
        <w:rPr>
          <w:spacing w:val="-5"/>
        </w:rPr>
        <w:t xml:space="preserve"> </w:t>
      </w:r>
      <w:r w:rsidRPr="00392AAE">
        <w:t>to</w:t>
      </w:r>
      <w:r w:rsidRPr="00392AAE">
        <w:rPr>
          <w:spacing w:val="-4"/>
        </w:rPr>
        <w:t xml:space="preserve"> </w:t>
      </w:r>
      <w:r w:rsidRPr="00392AAE">
        <w:t>reviews</w:t>
      </w:r>
      <w:r w:rsidRPr="00392AAE">
        <w:rPr>
          <w:spacing w:val="-4"/>
        </w:rPr>
        <w:t xml:space="preserve"> </w:t>
      </w:r>
      <w:r w:rsidRPr="00392AAE">
        <w:t>of</w:t>
      </w:r>
      <w:r w:rsidRPr="00392AAE">
        <w:rPr>
          <w:spacing w:val="-4"/>
        </w:rPr>
        <w:t xml:space="preserve"> </w:t>
      </w:r>
      <w:r w:rsidRPr="00392AAE">
        <w:t>the candidate’s scholarship must be redacted as appropriate to protect the confidentiality of reviewers; (c) student evaluations of the candidate’s teaching that were added to the Promotion</w:t>
      </w:r>
      <w:r w:rsidRPr="00392AAE">
        <w:rPr>
          <w:spacing w:val="-3"/>
        </w:rPr>
        <w:t xml:space="preserve"> </w:t>
      </w:r>
      <w:r w:rsidRPr="00392AAE">
        <w:t>Record</w:t>
      </w:r>
      <w:r w:rsidRPr="00392AAE">
        <w:rPr>
          <w:spacing w:val="-3"/>
        </w:rPr>
        <w:t xml:space="preserve"> </w:t>
      </w:r>
      <w:r w:rsidRPr="00392AAE">
        <w:t>by</w:t>
      </w:r>
      <w:r w:rsidRPr="00392AAE">
        <w:rPr>
          <w:spacing w:val="-8"/>
        </w:rPr>
        <w:t xml:space="preserve"> </w:t>
      </w:r>
      <w:r w:rsidRPr="00392AAE">
        <w:t>the</w:t>
      </w:r>
      <w:r w:rsidRPr="00392AAE">
        <w:rPr>
          <w:spacing w:val="-2"/>
        </w:rPr>
        <w:t xml:space="preserve"> </w:t>
      </w:r>
      <w:r w:rsidRPr="00392AAE">
        <w:t>DEO</w:t>
      </w:r>
      <w:r w:rsidRPr="00392AAE">
        <w:rPr>
          <w:spacing w:val="-3"/>
        </w:rPr>
        <w:t xml:space="preserve"> </w:t>
      </w:r>
      <w:r w:rsidRPr="00392AAE">
        <w:t>must</w:t>
      </w:r>
      <w:r w:rsidRPr="00392AAE">
        <w:rPr>
          <w:spacing w:val="-3"/>
        </w:rPr>
        <w:t xml:space="preserve"> </w:t>
      </w:r>
      <w:r w:rsidRPr="00392AAE">
        <w:t>be</w:t>
      </w:r>
      <w:r w:rsidRPr="00392AAE">
        <w:rPr>
          <w:spacing w:val="-4"/>
        </w:rPr>
        <w:t xml:space="preserve"> </w:t>
      </w:r>
      <w:r w:rsidRPr="00392AAE">
        <w:t>redacted</w:t>
      </w:r>
      <w:r w:rsidRPr="00392AAE">
        <w:rPr>
          <w:spacing w:val="-3"/>
        </w:rPr>
        <w:t xml:space="preserve"> </w:t>
      </w:r>
      <w:r w:rsidRPr="00392AAE">
        <w:t>to</w:t>
      </w:r>
      <w:r w:rsidRPr="00392AAE">
        <w:rPr>
          <w:spacing w:val="-3"/>
        </w:rPr>
        <w:t xml:space="preserve"> </w:t>
      </w:r>
      <w:r w:rsidRPr="00392AAE">
        <w:t>protect</w:t>
      </w:r>
      <w:r w:rsidRPr="00392AAE">
        <w:rPr>
          <w:spacing w:val="-3"/>
        </w:rPr>
        <w:t xml:space="preserve"> </w:t>
      </w:r>
      <w:r w:rsidRPr="00392AAE">
        <w:t>the</w:t>
      </w:r>
      <w:r w:rsidRPr="00392AAE">
        <w:rPr>
          <w:spacing w:val="-4"/>
        </w:rPr>
        <w:t xml:space="preserve"> </w:t>
      </w:r>
      <w:r w:rsidRPr="00392AAE">
        <w:t>confidentiality</w:t>
      </w:r>
      <w:r w:rsidRPr="00392AAE">
        <w:rPr>
          <w:spacing w:val="-8"/>
        </w:rPr>
        <w:t xml:space="preserve"> </w:t>
      </w:r>
      <w:r w:rsidRPr="00392AAE">
        <w:t>of student evaluators.</w:t>
      </w:r>
      <w:r w:rsidRPr="00D40FC5" w:rsidDel="00121655">
        <w:t xml:space="preserve"> </w:t>
      </w:r>
      <w:r>
        <w:t xml:space="preserve"> The candidate will have another </w:t>
      </w:r>
      <w:r w:rsidRPr="00D40FC5">
        <w:t>five working days to submit a letter of response and additional information</w:t>
      </w:r>
      <w:proofErr w:type="gramStart"/>
      <w:r>
        <w:t xml:space="preserve">. </w:t>
      </w:r>
      <w:r w:rsidR="00460BAE" w:rsidRPr="00661E54">
        <w:t>.</w:t>
      </w:r>
      <w:proofErr w:type="gramEnd"/>
      <w:r w:rsidR="00460BAE" w:rsidRPr="00661E54">
        <w:t xml:space="preserve">  </w:t>
      </w:r>
    </w:p>
    <w:p w14:paraId="0C4FFE00" w14:textId="77777777" w:rsidR="00D77638" w:rsidRPr="00661E54" w:rsidRDefault="00460BAE" w:rsidP="00826BD1">
      <w:pPr>
        <w:pStyle w:val="Heading3"/>
        <w:numPr>
          <w:ilvl w:val="2"/>
          <w:numId w:val="8"/>
        </w:numPr>
        <w:ind w:hanging="288"/>
      </w:pPr>
      <w:r w:rsidRPr="00661E54">
        <w:t>The normal timetable recommended for promotion evaluation is as fol</w:t>
      </w:r>
      <w:r w:rsidRPr="00661E54">
        <w:softHyphen/>
        <w:t>lows.</w:t>
      </w:r>
    </w:p>
    <w:p w14:paraId="5D370265" w14:textId="1D5C9B7D" w:rsidR="00212A84" w:rsidRDefault="00212A84" w:rsidP="00212A84">
      <w:pPr>
        <w:pStyle w:val="ListParagraph"/>
        <w:ind w:left="1440" w:firstLine="0"/>
      </w:pPr>
      <w:r>
        <w:t xml:space="preserve"> August 15        Candidate submits request for review to DEO</w:t>
      </w:r>
    </w:p>
    <w:p w14:paraId="73CFF008" w14:textId="76F074AF" w:rsidR="00D77638" w:rsidRPr="00661E54" w:rsidRDefault="00212A84">
      <w:pPr>
        <w:pStyle w:val="ListParagraph"/>
      </w:pPr>
      <w:r>
        <w:t xml:space="preserve">             </w:t>
      </w:r>
      <w:r w:rsidR="00460BAE" w:rsidRPr="00661E54">
        <w:t>September 1</w:t>
      </w:r>
      <w:r w:rsidR="00460BAE" w:rsidRPr="00661E54">
        <w:tab/>
        <w:t>Candidate submits promotion dossier.</w:t>
      </w:r>
    </w:p>
    <w:p w14:paraId="0B385F4A" w14:textId="3B9D815E" w:rsidR="00D77638" w:rsidRPr="00661E54" w:rsidRDefault="00212A84">
      <w:pPr>
        <w:pStyle w:val="ListParagraph"/>
      </w:pPr>
      <w:r>
        <w:t xml:space="preserve">             </w:t>
      </w:r>
      <w:r w:rsidR="00460BAE" w:rsidRPr="00661E54">
        <w:t>December 1</w:t>
      </w:r>
      <w:r w:rsidR="00460BAE" w:rsidRPr="00661E54">
        <w:tab/>
        <w:t>DCG’s recommendations submitted to DEO</w:t>
      </w:r>
    </w:p>
    <w:p w14:paraId="0CAC6171" w14:textId="40F2FBC7" w:rsidR="00D77638" w:rsidRDefault="00212A84">
      <w:pPr>
        <w:pStyle w:val="ListParagraph"/>
      </w:pPr>
      <w:r>
        <w:t xml:space="preserve">             </w:t>
      </w:r>
      <w:r w:rsidR="00460BAE" w:rsidRPr="00661E54">
        <w:t>December 15</w:t>
      </w:r>
      <w:r w:rsidR="00460BAE" w:rsidRPr="00661E54">
        <w:tab/>
        <w:t>DEO's recommendations submitted to Dean</w:t>
      </w:r>
    </w:p>
    <w:p w14:paraId="44B1DC8E" w14:textId="10A14B6C" w:rsidR="00BF2972" w:rsidRPr="00661E54" w:rsidRDefault="00BF2972">
      <w:pPr>
        <w:pStyle w:val="ListParagraph"/>
      </w:pPr>
      <w:r>
        <w:t xml:space="preserve">             February 15     Dean’s Recommendation submitted to Provost</w:t>
      </w:r>
    </w:p>
    <w:p w14:paraId="4C22F16F" w14:textId="32B153B2" w:rsidR="00D77638" w:rsidRPr="00661E54" w:rsidRDefault="00D77638">
      <w:pPr>
        <w:pStyle w:val="ListParagraph"/>
      </w:pPr>
    </w:p>
    <w:p w14:paraId="368E6300" w14:textId="622029A3" w:rsidR="004C3FE8" w:rsidRDefault="004C3FE8" w:rsidP="00475110">
      <w:pPr>
        <w:pStyle w:val="Heading2"/>
        <w:keepNext/>
        <w:widowControl/>
        <w:numPr>
          <w:ilvl w:val="0"/>
          <w:numId w:val="7"/>
        </w:numPr>
        <w:spacing w:before="0" w:after="0" w:line="240" w:lineRule="auto"/>
        <w:ind w:right="108"/>
      </w:pPr>
      <w:bookmarkStart w:id="44" w:name="_Toc158832147"/>
      <w:r w:rsidRPr="00D40FC5">
        <w:t>Collegiate Proced</w:t>
      </w:r>
      <w:r>
        <w:t>ures for Promotion of Instructional Faculty</w:t>
      </w:r>
      <w:bookmarkEnd w:id="44"/>
    </w:p>
    <w:p w14:paraId="06EA356C" w14:textId="77777777" w:rsidR="00475110" w:rsidRPr="00475110" w:rsidRDefault="00475110" w:rsidP="00900CD4">
      <w:pPr>
        <w:spacing w:after="0"/>
      </w:pPr>
    </w:p>
    <w:p w14:paraId="2A46AA64" w14:textId="4D228737" w:rsidR="004C3FE8" w:rsidRDefault="004C3FE8" w:rsidP="00475110">
      <w:pPr>
        <w:numPr>
          <w:ilvl w:val="0"/>
          <w:numId w:val="6"/>
        </w:numPr>
        <w:spacing w:after="0" w:line="240" w:lineRule="auto"/>
        <w:ind w:left="1530" w:right="108"/>
      </w:pPr>
      <w:r>
        <w:t xml:space="preserve">In formulating a </w:t>
      </w:r>
      <w:r w:rsidRPr="00D40FC5">
        <w:t>rec</w:t>
      </w:r>
      <w:r>
        <w:t>ommendation in promotion</w:t>
      </w:r>
      <w:r w:rsidRPr="00D40FC5">
        <w:t xml:space="preserve"> cases</w:t>
      </w:r>
      <w:r>
        <w:t xml:space="preserve"> for instructional faculty</w:t>
      </w:r>
      <w:r w:rsidRPr="00D40FC5">
        <w:t>, the Dean shall seek the formal advice of the Dean</w:t>
      </w:r>
      <w:r>
        <w:t>’s Advisory Instructional Faculty Promotion</w:t>
      </w:r>
      <w:r w:rsidRPr="00D40FC5">
        <w:t xml:space="preserve"> Committee.  The advisory committee provides the Dean a way to obtain help in interpreting the materials in the promotion record and in fully understanding a candidate’s strengths and weak</w:t>
      </w:r>
      <w:r w:rsidRPr="00D40FC5">
        <w:softHyphen/>
        <w:t>nesses.</w:t>
      </w:r>
    </w:p>
    <w:p w14:paraId="40AA14E2" w14:textId="77777777" w:rsidR="00475110" w:rsidRPr="00D40FC5" w:rsidRDefault="00475110" w:rsidP="00475110">
      <w:pPr>
        <w:spacing w:after="0" w:line="240" w:lineRule="auto"/>
        <w:ind w:left="1530" w:right="108" w:firstLine="0"/>
      </w:pPr>
    </w:p>
    <w:p w14:paraId="445F8FEE" w14:textId="1BDF8FD0" w:rsidR="004C3FE8" w:rsidRDefault="004C3FE8" w:rsidP="00475110">
      <w:pPr>
        <w:numPr>
          <w:ilvl w:val="0"/>
          <w:numId w:val="6"/>
        </w:numPr>
        <w:spacing w:after="0" w:line="240" w:lineRule="auto"/>
        <w:ind w:left="1530" w:right="108"/>
      </w:pPr>
      <w:r w:rsidRPr="00D40FC5">
        <w:t xml:space="preserve">Both the Dean and the advisory committee shall act </w:t>
      </w:r>
      <w:proofErr w:type="gramStart"/>
      <w:r w:rsidRPr="00D40FC5">
        <w:t>so as to</w:t>
      </w:r>
      <w:proofErr w:type="gramEnd"/>
      <w:r w:rsidRPr="00D40FC5">
        <w:t xml:space="preserve"> avoid creating another full la</w:t>
      </w:r>
      <w:r>
        <w:t xml:space="preserve">yer in the promotion </w:t>
      </w:r>
      <w:r w:rsidRPr="00D40FC5">
        <w:t>process that diminishes the importance of faculty judgments at the department level</w:t>
      </w:r>
      <w:r w:rsidR="009A48D9">
        <w:t>.  The Dean shall remain fully responsible</w:t>
      </w:r>
      <w:r w:rsidRPr="00D40FC5">
        <w:t xml:space="preserve"> for </w:t>
      </w:r>
      <w:r>
        <w:t xml:space="preserve">instructional faculty </w:t>
      </w:r>
      <w:r w:rsidRPr="00D40FC5">
        <w:t>promo</w:t>
      </w:r>
      <w:r w:rsidRPr="00D40FC5">
        <w:softHyphen/>
      </w:r>
      <w:r>
        <w:t>tion</w:t>
      </w:r>
      <w:r w:rsidRPr="00D40FC5">
        <w:t xml:space="preserve"> decisions made at the College level.</w:t>
      </w:r>
    </w:p>
    <w:p w14:paraId="6A9CCFCA" w14:textId="23EF0EF3" w:rsidR="00475110" w:rsidRPr="00D40FC5" w:rsidRDefault="00475110" w:rsidP="00475110">
      <w:pPr>
        <w:spacing w:after="0" w:line="240" w:lineRule="auto"/>
        <w:ind w:right="108" w:firstLine="0"/>
      </w:pPr>
    </w:p>
    <w:p w14:paraId="1A4129CA" w14:textId="1D0CCBD0" w:rsidR="004C3FE8" w:rsidRDefault="004C3FE8" w:rsidP="00475110">
      <w:pPr>
        <w:numPr>
          <w:ilvl w:val="0"/>
          <w:numId w:val="6"/>
        </w:numPr>
        <w:spacing w:after="0" w:line="240" w:lineRule="auto"/>
        <w:ind w:left="1530" w:right="108"/>
      </w:pPr>
      <w:r w:rsidRPr="00D40FC5">
        <w:t>Following consultation with the Engineering Faculty Council</w:t>
      </w:r>
      <w:r>
        <w:t>,</w:t>
      </w:r>
      <w:r w:rsidRPr="00D40FC5">
        <w:t xml:space="preserve"> during a regularly scheduled meeting of the Council, the Dean will annually appoint not less than five faculty members to the Dean’</w:t>
      </w:r>
      <w:r>
        <w:t xml:space="preserve">s Advisory Instructional Faculty Promotion </w:t>
      </w:r>
      <w:r w:rsidRPr="00D40FC5">
        <w:t>Committee with no more than two mem</w:t>
      </w:r>
      <w:r w:rsidRPr="00D40FC5">
        <w:softHyphen/>
        <w:t>bers being from the same department.  Co</w:t>
      </w:r>
      <w:r>
        <w:t xml:space="preserve">mmittee members must be </w:t>
      </w:r>
      <w:r w:rsidRPr="00D40FC5">
        <w:t>full profes</w:t>
      </w:r>
      <w:r w:rsidRPr="00D40FC5">
        <w:softHyphen/>
        <w:t xml:space="preserve">sors </w:t>
      </w:r>
      <w:r>
        <w:t xml:space="preserve">(instructional or tenure-track) </w:t>
      </w:r>
      <w:r w:rsidRPr="00D40FC5">
        <w:t>with primary appointments in the College.  Except when circumstances warrant, the Dean shall strive to achieve broad departmental representation on the committee and shall appoint the committee as soon in the fall semester as is feasible.</w:t>
      </w:r>
    </w:p>
    <w:p w14:paraId="0EF3AD54" w14:textId="099F8B25" w:rsidR="00475110" w:rsidRPr="00D40FC5" w:rsidRDefault="00475110" w:rsidP="00475110">
      <w:pPr>
        <w:spacing w:after="0" w:line="240" w:lineRule="auto"/>
        <w:ind w:right="108" w:firstLine="0"/>
      </w:pPr>
    </w:p>
    <w:p w14:paraId="29615A19" w14:textId="38DF8B56" w:rsidR="004C3FE8" w:rsidRPr="00D40FC5" w:rsidRDefault="004C3FE8" w:rsidP="004C3FE8">
      <w:pPr>
        <w:numPr>
          <w:ilvl w:val="0"/>
          <w:numId w:val="6"/>
        </w:numPr>
        <w:spacing w:after="0" w:line="240" w:lineRule="auto"/>
        <w:ind w:left="1530" w:right="108"/>
      </w:pPr>
      <w:r w:rsidRPr="00D40FC5">
        <w:t xml:space="preserve">A member of the advisory committee, appointed by the Dean, will serve as </w:t>
      </w:r>
      <w:proofErr w:type="gramStart"/>
      <w:r w:rsidRPr="00D40FC5">
        <w:t>chairperson</w:t>
      </w:r>
      <w:proofErr w:type="gramEnd"/>
      <w:r w:rsidRPr="00D40FC5">
        <w:t xml:space="preserve"> and shall ensure that the advisory committee discharges its responsibilities in a timely fashion and in a manner consistent within College and University policy.  Following appointment of the advisory committee, the Dean shall notify the faculty of the commit</w:t>
      </w:r>
      <w:r w:rsidRPr="00D40FC5">
        <w:softHyphen/>
        <w:t>tee’s membership and chairperson.</w:t>
      </w:r>
    </w:p>
    <w:p w14:paraId="16CA2CF4" w14:textId="77777777" w:rsidR="004C3FE8" w:rsidRPr="00D40FC5" w:rsidRDefault="004C3FE8" w:rsidP="004C3FE8">
      <w:pPr>
        <w:tabs>
          <w:tab w:val="left" w:pos="720"/>
        </w:tabs>
        <w:ind w:left="720" w:right="108" w:hanging="360"/>
      </w:pPr>
    </w:p>
    <w:p w14:paraId="480827E8" w14:textId="03573DEA" w:rsidR="004C3FE8" w:rsidRDefault="004C3FE8" w:rsidP="00475110">
      <w:pPr>
        <w:numPr>
          <w:ilvl w:val="0"/>
          <w:numId w:val="6"/>
        </w:numPr>
        <w:spacing w:after="0" w:line="240" w:lineRule="auto"/>
        <w:ind w:left="1530" w:right="108"/>
      </w:pPr>
      <w:r w:rsidRPr="00D40FC5">
        <w:t>The Dean may attend the meetings of the Dean’s Ad</w:t>
      </w:r>
      <w:r>
        <w:t>visory Instructional Faculty Promotion</w:t>
      </w:r>
      <w:r w:rsidRPr="00D40FC5">
        <w:t xml:space="preserve"> Com</w:t>
      </w:r>
      <w:r w:rsidRPr="00D40FC5">
        <w:softHyphen/>
        <w:t>mittee but may not vote or contribute to the committee’s report.</w:t>
      </w:r>
    </w:p>
    <w:p w14:paraId="44EEEAA3" w14:textId="2585D87C" w:rsidR="00475110" w:rsidRPr="00D40FC5" w:rsidRDefault="00475110" w:rsidP="00475110">
      <w:pPr>
        <w:spacing w:after="0" w:line="240" w:lineRule="auto"/>
        <w:ind w:right="108" w:firstLine="0"/>
      </w:pPr>
    </w:p>
    <w:p w14:paraId="7BEFC11A" w14:textId="77777777" w:rsidR="004C3FE8" w:rsidRPr="00D40FC5" w:rsidRDefault="004C3FE8" w:rsidP="004C3FE8">
      <w:pPr>
        <w:numPr>
          <w:ilvl w:val="0"/>
          <w:numId w:val="6"/>
        </w:numPr>
        <w:spacing w:after="0" w:line="240" w:lineRule="auto"/>
        <w:ind w:left="1530" w:right="108"/>
      </w:pPr>
      <w:r w:rsidRPr="00D40FC5">
        <w:t>Members of the Dean’</w:t>
      </w:r>
      <w:r>
        <w:t xml:space="preserve">s Advisory Instructional Faculty </w:t>
      </w:r>
      <w:r w:rsidRPr="00D40FC5">
        <w:t xml:space="preserve">Committee who are members of the departmental DCG for a particular candidate may not participate in the advisory committee’s deliberations or voting </w:t>
      </w:r>
      <w:proofErr w:type="gramStart"/>
      <w:r w:rsidRPr="00D40FC5">
        <w:t>in regard to</w:t>
      </w:r>
      <w:proofErr w:type="gramEnd"/>
      <w:r w:rsidRPr="00D40FC5">
        <w:t xml:space="preserve"> that candidate.</w:t>
      </w:r>
    </w:p>
    <w:p w14:paraId="37CFE9C6" w14:textId="77777777" w:rsidR="004C3FE8" w:rsidRPr="00D40FC5" w:rsidRDefault="004C3FE8" w:rsidP="00475110">
      <w:pPr>
        <w:tabs>
          <w:tab w:val="left" w:pos="720"/>
        </w:tabs>
        <w:spacing w:after="0"/>
        <w:ind w:left="720" w:right="115" w:hanging="360"/>
      </w:pPr>
    </w:p>
    <w:p w14:paraId="3E4816FD" w14:textId="77777777" w:rsidR="004C3FE8" w:rsidRPr="00D40FC5" w:rsidRDefault="004C3FE8" w:rsidP="004C3FE8">
      <w:pPr>
        <w:numPr>
          <w:ilvl w:val="0"/>
          <w:numId w:val="6"/>
        </w:numPr>
        <w:spacing w:after="0" w:line="240" w:lineRule="auto"/>
        <w:ind w:left="1530" w:right="108"/>
      </w:pPr>
      <w:r w:rsidRPr="00D40FC5">
        <w:t>The Dean’</w:t>
      </w:r>
      <w:r>
        <w:t xml:space="preserve">s Advisory Instructional Faculty Promotion </w:t>
      </w:r>
      <w:r w:rsidRPr="00D40FC5">
        <w:t>Committee shall meet to discuss the qualifica</w:t>
      </w:r>
      <w:r w:rsidRPr="00D40FC5">
        <w:softHyphen/>
        <w:t>tions of each ca</w:t>
      </w:r>
      <w:r>
        <w:t xml:space="preserve">ndidate for promotion </w:t>
      </w:r>
      <w:r w:rsidRPr="00D40FC5">
        <w:t>and to vote by closed ballot to advise for or against the gra</w:t>
      </w:r>
      <w:r>
        <w:t>nting of promotion</w:t>
      </w:r>
      <w:r w:rsidRPr="00D40FC5">
        <w:t xml:space="preserve">.  A simple majority </w:t>
      </w:r>
      <w:r>
        <w:t>advising promotion</w:t>
      </w:r>
      <w:r w:rsidRPr="00D40FC5">
        <w:t xml:space="preserve"> represents a positive recommendation.  The results of the bal</w:t>
      </w:r>
      <w:r w:rsidRPr="00D40FC5">
        <w:softHyphen/>
        <w:t>loting will be announced at the same meeting.  The Chairperson or the Chairperson’s designee shall supervise the drafting of a report recording and explaining the commit</w:t>
      </w:r>
      <w:r w:rsidRPr="00D40FC5">
        <w:softHyphen/>
        <w:t xml:space="preserve">tee’s vote.  The report need not be </w:t>
      </w:r>
      <w:proofErr w:type="gramStart"/>
      <w:r w:rsidRPr="00D40FC5">
        <w:t>lengthy, but</w:t>
      </w:r>
      <w:proofErr w:type="gramEnd"/>
      <w:r w:rsidRPr="00D40FC5">
        <w:t xml:space="preserve"> should explain the rationale for the vote.  After securing committee approval of the report, the Chairperson or the Chairperson’s designee shall communicate it to the Dean.</w:t>
      </w:r>
    </w:p>
    <w:p w14:paraId="6EA6BB61" w14:textId="77777777" w:rsidR="004C3FE8" w:rsidRPr="00D40FC5" w:rsidRDefault="004C3FE8" w:rsidP="00475110">
      <w:pPr>
        <w:tabs>
          <w:tab w:val="left" w:pos="720"/>
        </w:tabs>
        <w:spacing w:after="0"/>
        <w:ind w:left="720" w:right="115" w:hanging="360"/>
        <w:contextualSpacing/>
      </w:pPr>
    </w:p>
    <w:p w14:paraId="0D6F5F6B" w14:textId="67A41C50" w:rsidR="004C3FE8" w:rsidRPr="00D40FC5" w:rsidRDefault="004C3FE8" w:rsidP="004C3FE8">
      <w:pPr>
        <w:numPr>
          <w:ilvl w:val="0"/>
          <w:numId w:val="6"/>
        </w:numPr>
        <w:spacing w:after="0" w:line="240" w:lineRule="auto"/>
        <w:ind w:left="1530" w:right="108"/>
      </w:pPr>
      <w:r w:rsidRPr="00D40FC5">
        <w:t>If</w:t>
      </w:r>
      <w:r>
        <w:t xml:space="preserve"> the recommendation of either the DCG</w:t>
      </w:r>
      <w:r w:rsidRPr="00D40FC5">
        <w:t xml:space="preserve"> o</w:t>
      </w:r>
      <w:r>
        <w:t xml:space="preserve">r Department Executive Officer </w:t>
      </w:r>
      <w:r w:rsidRPr="00D40FC5">
        <w:t>is positive and the Dean’</w:t>
      </w:r>
      <w:r>
        <w:t xml:space="preserve">s Advisory Instruction Faculty Advisory </w:t>
      </w:r>
      <w:r w:rsidRPr="00D40FC5">
        <w:t>Committee adv</w:t>
      </w:r>
      <w:r>
        <w:t>ises against promotion</w:t>
      </w:r>
      <w:r w:rsidRPr="00D40FC5">
        <w:t>, the Committee’s report will be provided to the candidate.  Pursuant to University policy, the candidate will have five working days to access the promotion file</w:t>
      </w:r>
      <w:r w:rsidR="004F4AE2">
        <w:t>, subject to the redactions noted i</w:t>
      </w:r>
      <w:r w:rsidR="004031C5">
        <w:t>n Section IV.E.8</w:t>
      </w:r>
      <w:r w:rsidRPr="00D40FC5">
        <w:t xml:space="preserve"> and another five working days to submit a letter of response.</w:t>
      </w:r>
    </w:p>
    <w:p w14:paraId="04AC43FF" w14:textId="77777777" w:rsidR="004C3FE8" w:rsidRPr="00D40FC5" w:rsidRDefault="004C3FE8" w:rsidP="00900CD4">
      <w:pPr>
        <w:tabs>
          <w:tab w:val="left" w:pos="720"/>
        </w:tabs>
        <w:spacing w:after="0"/>
        <w:ind w:left="720" w:right="108" w:hanging="360"/>
      </w:pPr>
    </w:p>
    <w:p w14:paraId="37D352FC" w14:textId="22BBB957" w:rsidR="000F5390" w:rsidRPr="00D40FC5" w:rsidRDefault="004E7850" w:rsidP="000F5390">
      <w:pPr>
        <w:numPr>
          <w:ilvl w:val="0"/>
          <w:numId w:val="6"/>
        </w:numPr>
        <w:tabs>
          <w:tab w:val="left" w:pos="720"/>
        </w:tabs>
        <w:spacing w:after="0" w:line="240" w:lineRule="auto"/>
        <w:ind w:right="108"/>
      </w:pPr>
      <w:r>
        <w:t xml:space="preserve">If the Dean’s recommendation is negative, </w:t>
      </w:r>
      <w:proofErr w:type="gramStart"/>
      <w:r>
        <w:t>a</w:t>
      </w:r>
      <w:r w:rsidRPr="00D40FC5">
        <w:t>t</w:t>
      </w:r>
      <w:r w:rsidR="004C3FE8" w:rsidRPr="00D40FC5">
        <w:t xml:space="preserve"> the same time that</w:t>
      </w:r>
      <w:proofErr w:type="gramEnd"/>
      <w:r w:rsidR="004C3FE8" w:rsidRPr="00D40FC5">
        <w:t xml:space="preserve"> the promotion file is submitted to the Provost, the Dean will pro</w:t>
      </w:r>
      <w:r w:rsidR="004C3FE8" w:rsidRPr="00D40FC5">
        <w:softHyphen/>
        <w:t xml:space="preserve">vide the candidate with a copy of the </w:t>
      </w:r>
      <w:r>
        <w:t xml:space="preserve">negative </w:t>
      </w:r>
      <w:r w:rsidR="004C3FE8" w:rsidRPr="00D40FC5">
        <w:t>recommendation and the report of the Dean’s Advi</w:t>
      </w:r>
      <w:r w:rsidR="004C3FE8" w:rsidRPr="00D40FC5">
        <w:softHyphen/>
      </w:r>
      <w:r w:rsidR="004C3FE8">
        <w:t xml:space="preserve">sory Instructional Faculty Promotion </w:t>
      </w:r>
      <w:r w:rsidR="004C3FE8" w:rsidRPr="00D40FC5">
        <w:t xml:space="preserve">Committee.  </w:t>
      </w:r>
    </w:p>
    <w:p w14:paraId="3A427CD2" w14:textId="415CE41E" w:rsidR="000F5390" w:rsidRPr="00D40FC5" w:rsidRDefault="000F5390" w:rsidP="000F5390">
      <w:pPr>
        <w:numPr>
          <w:ilvl w:val="0"/>
          <w:numId w:val="6"/>
        </w:numPr>
        <w:tabs>
          <w:tab w:val="left" w:pos="720"/>
        </w:tabs>
        <w:spacing w:after="0" w:line="240" w:lineRule="auto"/>
        <w:ind w:right="108"/>
      </w:pPr>
      <w:r w:rsidRPr="00D40FC5">
        <w:t xml:space="preserve">As provided for by </w:t>
      </w:r>
      <w:proofErr w:type="gramStart"/>
      <w:r w:rsidRPr="00D40FC5">
        <w:t>University</w:t>
      </w:r>
      <w:proofErr w:type="gramEnd"/>
      <w:r w:rsidRPr="00D40FC5">
        <w:t xml:space="preserve"> policy, the candidate will have five working days to </w:t>
      </w:r>
      <w:r>
        <w:t xml:space="preserve">request access to the promotion record subject to the redactions noted in Section IV. </w:t>
      </w:r>
      <w:proofErr w:type="gramStart"/>
      <w:r w:rsidR="00D7707D">
        <w:t>E</w:t>
      </w:r>
      <w:r>
        <w:t xml:space="preserve"> .</w:t>
      </w:r>
      <w:proofErr w:type="gramEnd"/>
      <w:r>
        <w:t xml:space="preserve">8.and will have another </w:t>
      </w:r>
      <w:r w:rsidRPr="00D40FC5">
        <w:t>five working days to submit a letter of response</w:t>
      </w:r>
      <w:r>
        <w:t xml:space="preserve"> </w:t>
      </w:r>
      <w:r w:rsidRPr="00D40FC5">
        <w:t xml:space="preserve">and additional information.  At the time that the </w:t>
      </w:r>
      <w:proofErr w:type="gramStart"/>
      <w:r w:rsidRPr="00D40FC5">
        <w:t>Provost’s</w:t>
      </w:r>
      <w:proofErr w:type="gramEnd"/>
      <w:r w:rsidRPr="00D40FC5">
        <w:t xml:space="preserve"> recommendation to the Board of Regents is available to the Dean, the Dean will inform the candidate and </w:t>
      </w:r>
      <w:r>
        <w:t xml:space="preserve">DEO </w:t>
      </w:r>
      <w:r w:rsidRPr="00D40FC5">
        <w:t xml:space="preserve">in writing of the Provost’s recommendation.  In the case of a recommendation against promotion or tenure, the Dean will inform the candidate of the availability and enclose a copy via </w:t>
      </w:r>
      <w:r>
        <w:t xml:space="preserve">email or </w:t>
      </w:r>
      <w:r w:rsidRPr="00D40FC5">
        <w:t xml:space="preserve">certified mail of the official Faculty Dispute Procedures as explained in Part III, Chapter 29, of The University of Iowa </w:t>
      </w:r>
      <w:r>
        <w:rPr>
          <w:u w:val="single"/>
        </w:rPr>
        <w:t>Policy</w:t>
      </w:r>
      <w:r w:rsidRPr="00D40FC5">
        <w:rPr>
          <w:u w:val="single"/>
        </w:rPr>
        <w:t xml:space="preserve"> Manual</w:t>
      </w:r>
      <w:r w:rsidRPr="00D40FC5">
        <w:t>.</w:t>
      </w:r>
    </w:p>
    <w:p w14:paraId="739510CE" w14:textId="216FAFDD" w:rsidR="00D77638" w:rsidRDefault="00D77638" w:rsidP="00FE0B7C">
      <w:pPr>
        <w:numPr>
          <w:ilvl w:val="0"/>
          <w:numId w:val="6"/>
        </w:numPr>
        <w:spacing w:after="0" w:line="240" w:lineRule="auto"/>
        <w:ind w:left="1530" w:right="108" w:firstLine="0"/>
      </w:pPr>
    </w:p>
    <w:p w14:paraId="7D01CB59" w14:textId="63D5C51F" w:rsidR="00D77638" w:rsidRPr="0057717C" w:rsidRDefault="00B1527A" w:rsidP="00560850">
      <w:pPr>
        <w:pStyle w:val="Heading2"/>
        <w:widowControl/>
        <w:numPr>
          <w:ilvl w:val="0"/>
          <w:numId w:val="7"/>
        </w:numPr>
        <w:spacing w:before="0"/>
        <w:rPr>
          <w:color w:val="FF0000"/>
        </w:rPr>
      </w:pPr>
      <w:bookmarkStart w:id="45" w:name="_Toc158832148"/>
      <w:r>
        <w:lastRenderedPageBreak/>
        <w:t>Other Considerations</w:t>
      </w:r>
      <w:bookmarkEnd w:id="45"/>
    </w:p>
    <w:p w14:paraId="5E36E12F" w14:textId="1AF8303F" w:rsidR="005566EA" w:rsidRPr="0057717C" w:rsidRDefault="00DD2E10" w:rsidP="00B1527A">
      <w:pPr>
        <w:rPr>
          <w:color w:val="FF0000"/>
        </w:rPr>
      </w:pPr>
      <w:r w:rsidRPr="0057717C">
        <w:rPr>
          <w:color w:val="auto"/>
        </w:rPr>
        <w:t>Given that promotion decisions within instructional faculty ranks</w:t>
      </w:r>
      <w:r w:rsidR="00536AF1" w:rsidRPr="0057717C">
        <w:rPr>
          <w:color w:val="auto"/>
        </w:rPr>
        <w:t xml:space="preserve"> do not carry the same “up or out” decision associated with tenure, a negative recommendation on a promotion request need not translate into termination of employment.</w:t>
      </w:r>
      <w:r w:rsidR="0057717C" w:rsidRPr="0057717C">
        <w:rPr>
          <w:color w:val="auto"/>
        </w:rPr>
        <w:t xml:space="preserve"> </w:t>
      </w:r>
    </w:p>
    <w:p w14:paraId="315C5C24" w14:textId="3E5FAFA3" w:rsidR="005566EA" w:rsidRPr="0057717C" w:rsidRDefault="005566EA" w:rsidP="00DD2E10">
      <w:pPr>
        <w:rPr>
          <w:color w:val="FF0000"/>
        </w:rPr>
      </w:pPr>
      <w:r w:rsidRPr="0057717C">
        <w:rPr>
          <w:color w:val="auto"/>
        </w:rPr>
        <w:t>Instructional faculty members may apply for open positions on the tenure track</w:t>
      </w:r>
      <w:r w:rsidR="009C112B" w:rsidRPr="0057717C">
        <w:rPr>
          <w:color w:val="auto"/>
        </w:rPr>
        <w:t>, but they may be appointed to the tenure track only one time</w:t>
      </w:r>
      <w:r w:rsidR="000F683A" w:rsidRPr="0057717C">
        <w:rPr>
          <w:color w:val="auto"/>
        </w:rPr>
        <w:t xml:space="preserve"> during their career at the University of Iowa.  Similarly, tenure-track faculty may apply for open instructional faculty positi</w:t>
      </w:r>
      <w:r w:rsidR="00914BFA" w:rsidRPr="0057717C">
        <w:rPr>
          <w:color w:val="auto"/>
        </w:rPr>
        <w:t>ons, but an instructional faculty appointment</w:t>
      </w:r>
      <w:r w:rsidR="00351EB6" w:rsidRPr="0057717C">
        <w:rPr>
          <w:color w:val="auto"/>
        </w:rPr>
        <w:t xml:space="preserve"> shall not be used </w:t>
      </w:r>
      <w:r w:rsidR="00252C8A" w:rsidRPr="0057717C">
        <w:rPr>
          <w:color w:val="auto"/>
        </w:rPr>
        <w:t>as an automatic default for accomplished teachers</w:t>
      </w:r>
      <w:r w:rsidR="00400353" w:rsidRPr="0057717C">
        <w:rPr>
          <w:color w:val="auto"/>
        </w:rPr>
        <w:t xml:space="preserve"> who made an unsuccessful tenure bid.</w:t>
      </w:r>
      <w:r w:rsidR="0057717C" w:rsidRPr="0057717C">
        <w:rPr>
          <w:color w:val="auto"/>
        </w:rPr>
        <w:t xml:space="preserve"> </w:t>
      </w:r>
    </w:p>
    <w:sectPr w:rsidR="005566EA" w:rsidRPr="0057717C">
      <w:headerReference w:type="default" r:id="rId12"/>
      <w:footerReference w:type="default" r:id="rId13"/>
      <w:pgSz w:w="12240" w:h="15840"/>
      <w:pgMar w:top="1440" w:right="1440" w:bottom="1440" w:left="1440"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AF440" w14:textId="77777777" w:rsidR="00B43938" w:rsidRDefault="00B43938">
      <w:pPr>
        <w:spacing w:after="0" w:line="240" w:lineRule="auto"/>
      </w:pPr>
      <w:r>
        <w:separator/>
      </w:r>
    </w:p>
  </w:endnote>
  <w:endnote w:type="continuationSeparator" w:id="0">
    <w:p w14:paraId="3D91A7EE" w14:textId="77777777" w:rsidR="00B43938" w:rsidRDefault="00B4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665656"/>
      <w:docPartObj>
        <w:docPartGallery w:val="Page Numbers (Bottom of Page)"/>
        <w:docPartUnique/>
      </w:docPartObj>
    </w:sdtPr>
    <w:sdtEndPr>
      <w:rPr>
        <w:noProof/>
      </w:rPr>
    </w:sdtEndPr>
    <w:sdtContent>
      <w:p w14:paraId="0A85AAB8" w14:textId="218282B0" w:rsidR="00C73887" w:rsidRDefault="00C73887">
        <w:pPr>
          <w:pStyle w:val="Footer"/>
          <w:jc w:val="center"/>
        </w:pPr>
        <w:r>
          <w:fldChar w:fldCharType="begin"/>
        </w:r>
        <w:r>
          <w:instrText xml:space="preserve"> PAGE   \* MERGEFORMAT </w:instrText>
        </w:r>
        <w:r>
          <w:fldChar w:fldCharType="separate"/>
        </w:r>
        <w:r w:rsidR="00153EFC">
          <w:rPr>
            <w:noProof/>
          </w:rPr>
          <w:t>19</w:t>
        </w:r>
        <w:r>
          <w:rPr>
            <w:noProof/>
          </w:rPr>
          <w:fldChar w:fldCharType="end"/>
        </w:r>
      </w:p>
    </w:sdtContent>
  </w:sdt>
  <w:p w14:paraId="10CB7587" w14:textId="77777777" w:rsidR="009469EA" w:rsidRDefault="0094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F501" w14:textId="77777777" w:rsidR="00B43938" w:rsidRDefault="00B43938">
      <w:r>
        <w:separator/>
      </w:r>
    </w:p>
  </w:footnote>
  <w:footnote w:type="continuationSeparator" w:id="0">
    <w:p w14:paraId="46D957E2" w14:textId="77777777" w:rsidR="00B43938" w:rsidRDefault="00B43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23EC" w14:textId="12D169D4" w:rsidR="009469EA" w:rsidRDefault="0094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69D1"/>
    <w:multiLevelType w:val="multilevel"/>
    <w:tmpl w:val="77906A1E"/>
    <w:lvl w:ilvl="0">
      <w:start w:val="1"/>
      <w:numFmt w:val="upperLetter"/>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0B325B"/>
    <w:multiLevelType w:val="multilevel"/>
    <w:tmpl w:val="305ED160"/>
    <w:lvl w:ilvl="0">
      <w:start w:val="1"/>
      <w:numFmt w:val="upperRoman"/>
      <w:lvlText w:val="%1."/>
      <w:lvlJc w:val="left"/>
      <w:pPr>
        <w:ind w:left="0" w:firstLine="0"/>
      </w:pPr>
    </w:lvl>
    <w:lvl w:ilvl="1">
      <w:start w:val="1"/>
      <w:numFmt w:val="upperLetter"/>
      <w:lvlText w:val="%2."/>
      <w:lvlJc w:val="left"/>
      <w:pPr>
        <w:ind w:left="0" w:firstLine="0"/>
      </w:pPr>
    </w:lvl>
    <w:lvl w:ilvl="2">
      <w:start w:val="1"/>
      <w:numFmt w:val="decimal"/>
      <w:lvlText w:val="%3."/>
      <w:lvlJc w:val="left"/>
      <w:pPr>
        <w:ind w:left="1440" w:firstLine="0"/>
      </w:pPr>
    </w:lvl>
    <w:lvl w:ilvl="3">
      <w:start w:val="1"/>
      <w:numFmt w:val="lowerLetter"/>
      <w:lvlText w:val="%4)"/>
      <w:lvlJc w:val="left"/>
      <w:pPr>
        <w:ind w:left="198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1FC61792"/>
    <w:multiLevelType w:val="hybridMultilevel"/>
    <w:tmpl w:val="DEF29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B2BD8"/>
    <w:multiLevelType w:val="hybridMultilevel"/>
    <w:tmpl w:val="2572CFDE"/>
    <w:lvl w:ilvl="0" w:tplc="0D0CC92A">
      <w:start w:val="6"/>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442E7"/>
    <w:multiLevelType w:val="multilevel"/>
    <w:tmpl w:val="A62C735E"/>
    <w:lvl w:ilvl="0">
      <w:start w:val="3"/>
      <w:numFmt w:val="upperRoman"/>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lvlText w:val="%3."/>
      <w:lvlJc w:val="left"/>
      <w:pPr>
        <w:ind w:left="1440" w:firstLine="0"/>
      </w:pPr>
      <w:rPr>
        <w:rFonts w:ascii="Garamond" w:eastAsiaTheme="majorEastAsia" w:hAnsi="Garamond" w:cstheme="majorBidi"/>
      </w:rPr>
    </w:lvl>
    <w:lvl w:ilvl="3">
      <w:start w:val="1"/>
      <w:numFmt w:val="lowerLetter"/>
      <w:lvlText w:val="%4)"/>
      <w:lvlJc w:val="left"/>
      <w:pPr>
        <w:ind w:left="1890" w:firstLine="0"/>
      </w:pPr>
      <w:rPr>
        <w:rFonts w:ascii="Garamond" w:eastAsiaTheme="majorEastAsia" w:hAnsi="Garamond" w:cstheme="majorBidi"/>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4E5B2EDC"/>
    <w:multiLevelType w:val="multilevel"/>
    <w:tmpl w:val="D05ABD00"/>
    <w:lvl w:ilvl="0">
      <w:start w:val="1"/>
      <w:numFmt w:val="upperRoman"/>
      <w:lvlText w:val="%1."/>
      <w:lvlJc w:val="left"/>
      <w:pPr>
        <w:ind w:left="0" w:firstLine="0"/>
      </w:pPr>
    </w:lvl>
    <w:lvl w:ilvl="1">
      <w:start w:val="1"/>
      <w:numFmt w:val="upperLetter"/>
      <w:lvlText w:val="%2."/>
      <w:lvlJc w:val="left"/>
      <w:pPr>
        <w:ind w:left="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62CE491D"/>
    <w:multiLevelType w:val="multilevel"/>
    <w:tmpl w:val="22160A26"/>
    <w:lvl w:ilvl="0">
      <w:start w:val="1"/>
      <w:numFmt w:val="upperRoman"/>
      <w:pStyle w:val="Heading1"/>
      <w:lvlText w:val="%1."/>
      <w:lvlJc w:val="left"/>
      <w:pPr>
        <w:ind w:left="0" w:firstLine="0"/>
      </w:pPr>
    </w:lvl>
    <w:lvl w:ilvl="1">
      <w:start w:val="1"/>
      <w:numFmt w:val="upperLetter"/>
      <w:pStyle w:val="Heading2"/>
      <w:lvlText w:val="%2."/>
      <w:lvlJc w:val="left"/>
      <w:pPr>
        <w:ind w:left="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7A2776AE"/>
    <w:multiLevelType w:val="multilevel"/>
    <w:tmpl w:val="9F481232"/>
    <w:lvl w:ilvl="0">
      <w:start w:val="1"/>
      <w:numFmt w:val="upperRoman"/>
      <w:lvlText w:val="%1."/>
      <w:lvlJc w:val="left"/>
      <w:pPr>
        <w:ind w:left="0" w:firstLine="0"/>
      </w:pPr>
    </w:lvl>
    <w:lvl w:ilvl="1">
      <w:start w:val="1"/>
      <w:numFmt w:val="upperLetter"/>
      <w:lvlText w:val="%2."/>
      <w:lvlJc w:val="left"/>
      <w:pPr>
        <w:ind w:left="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6"/>
  </w:num>
  <w:num w:numId="2">
    <w:abstractNumId w:val="5"/>
  </w:num>
  <w:num w:numId="3">
    <w:abstractNumId w:val="1"/>
  </w:num>
  <w:num w:numId="4">
    <w:abstractNumId w:val="7"/>
  </w:num>
  <w:num w:numId="5">
    <w:abstractNumId w:val="0"/>
  </w:num>
  <w:num w:numId="6">
    <w:abstractNumId w:val="2"/>
  </w:num>
  <w:num w:numId="7">
    <w:abstractNumId w:val="3"/>
  </w:num>
  <w:num w:numId="8">
    <w:abstractNumId w:val="4"/>
  </w:num>
  <w:num w:numId="9">
    <w:abstractNumId w:val="6"/>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38"/>
    <w:rsid w:val="00000A0D"/>
    <w:rsid w:val="0000434E"/>
    <w:rsid w:val="00020F2D"/>
    <w:rsid w:val="000214D8"/>
    <w:rsid w:val="000271F7"/>
    <w:rsid w:val="000427AD"/>
    <w:rsid w:val="00044890"/>
    <w:rsid w:val="00045B33"/>
    <w:rsid w:val="00055BB8"/>
    <w:rsid w:val="00074344"/>
    <w:rsid w:val="00081B2D"/>
    <w:rsid w:val="00086969"/>
    <w:rsid w:val="000870B1"/>
    <w:rsid w:val="00095BA3"/>
    <w:rsid w:val="000A218A"/>
    <w:rsid w:val="000A3D50"/>
    <w:rsid w:val="000B62FF"/>
    <w:rsid w:val="000C1A6C"/>
    <w:rsid w:val="000C1AED"/>
    <w:rsid w:val="000C53CC"/>
    <w:rsid w:val="000D28A7"/>
    <w:rsid w:val="000D6B16"/>
    <w:rsid w:val="000E042B"/>
    <w:rsid w:val="000E1EF6"/>
    <w:rsid w:val="000E5CE5"/>
    <w:rsid w:val="000E66E6"/>
    <w:rsid w:val="000F1866"/>
    <w:rsid w:val="000F4F40"/>
    <w:rsid w:val="000F5390"/>
    <w:rsid w:val="000F5782"/>
    <w:rsid w:val="000F683A"/>
    <w:rsid w:val="000F7A91"/>
    <w:rsid w:val="00100AAC"/>
    <w:rsid w:val="00100B05"/>
    <w:rsid w:val="00102587"/>
    <w:rsid w:val="0011137B"/>
    <w:rsid w:val="0012198C"/>
    <w:rsid w:val="00143D03"/>
    <w:rsid w:val="00145747"/>
    <w:rsid w:val="00153113"/>
    <w:rsid w:val="00153EFC"/>
    <w:rsid w:val="00155AB3"/>
    <w:rsid w:val="00156D43"/>
    <w:rsid w:val="00162541"/>
    <w:rsid w:val="0018650C"/>
    <w:rsid w:val="001916A8"/>
    <w:rsid w:val="001A1738"/>
    <w:rsid w:val="001A410E"/>
    <w:rsid w:val="001A4A33"/>
    <w:rsid w:val="001A7C3F"/>
    <w:rsid w:val="001B7734"/>
    <w:rsid w:val="001C39E5"/>
    <w:rsid w:val="001D5E2F"/>
    <w:rsid w:val="001E6DD0"/>
    <w:rsid w:val="001F52CD"/>
    <w:rsid w:val="0020646F"/>
    <w:rsid w:val="00207139"/>
    <w:rsid w:val="00212A84"/>
    <w:rsid w:val="002133EB"/>
    <w:rsid w:val="00215E52"/>
    <w:rsid w:val="0024388C"/>
    <w:rsid w:val="00246083"/>
    <w:rsid w:val="00252C8A"/>
    <w:rsid w:val="00264960"/>
    <w:rsid w:val="002673CC"/>
    <w:rsid w:val="00272118"/>
    <w:rsid w:val="00273220"/>
    <w:rsid w:val="0027758C"/>
    <w:rsid w:val="002A544D"/>
    <w:rsid w:val="002A549B"/>
    <w:rsid w:val="002B3932"/>
    <w:rsid w:val="002C7D88"/>
    <w:rsid w:val="002D1A8F"/>
    <w:rsid w:val="002E630F"/>
    <w:rsid w:val="002F2159"/>
    <w:rsid w:val="0030486E"/>
    <w:rsid w:val="003105DC"/>
    <w:rsid w:val="0031135A"/>
    <w:rsid w:val="00311D98"/>
    <w:rsid w:val="00320381"/>
    <w:rsid w:val="00326C0E"/>
    <w:rsid w:val="003309B7"/>
    <w:rsid w:val="0034491A"/>
    <w:rsid w:val="00351EB6"/>
    <w:rsid w:val="0035275E"/>
    <w:rsid w:val="0035792F"/>
    <w:rsid w:val="0036076D"/>
    <w:rsid w:val="00367200"/>
    <w:rsid w:val="00370C8D"/>
    <w:rsid w:val="003739B0"/>
    <w:rsid w:val="00383DED"/>
    <w:rsid w:val="00385A52"/>
    <w:rsid w:val="00385C44"/>
    <w:rsid w:val="00386DA8"/>
    <w:rsid w:val="003927F1"/>
    <w:rsid w:val="0039403E"/>
    <w:rsid w:val="00394D55"/>
    <w:rsid w:val="0039614D"/>
    <w:rsid w:val="003A0B52"/>
    <w:rsid w:val="003B3BBE"/>
    <w:rsid w:val="003B651A"/>
    <w:rsid w:val="003C21F7"/>
    <w:rsid w:val="003D1972"/>
    <w:rsid w:val="003D6EEA"/>
    <w:rsid w:val="003D6F90"/>
    <w:rsid w:val="003E1430"/>
    <w:rsid w:val="003E693E"/>
    <w:rsid w:val="003F5BBA"/>
    <w:rsid w:val="00400353"/>
    <w:rsid w:val="00400490"/>
    <w:rsid w:val="004031C5"/>
    <w:rsid w:val="004055D8"/>
    <w:rsid w:val="00405E8C"/>
    <w:rsid w:val="004117D0"/>
    <w:rsid w:val="00412283"/>
    <w:rsid w:val="00417931"/>
    <w:rsid w:val="00420713"/>
    <w:rsid w:val="004219A2"/>
    <w:rsid w:val="004410C6"/>
    <w:rsid w:val="00452A36"/>
    <w:rsid w:val="00452FE9"/>
    <w:rsid w:val="00460BAE"/>
    <w:rsid w:val="0046129A"/>
    <w:rsid w:val="00462C7C"/>
    <w:rsid w:val="004664B3"/>
    <w:rsid w:val="004667CA"/>
    <w:rsid w:val="00470DDB"/>
    <w:rsid w:val="00475110"/>
    <w:rsid w:val="00480C65"/>
    <w:rsid w:val="004A1021"/>
    <w:rsid w:val="004A1C73"/>
    <w:rsid w:val="004A2496"/>
    <w:rsid w:val="004A25A0"/>
    <w:rsid w:val="004A38F8"/>
    <w:rsid w:val="004C0365"/>
    <w:rsid w:val="004C3C0A"/>
    <w:rsid w:val="004C3FE8"/>
    <w:rsid w:val="004C45AF"/>
    <w:rsid w:val="004E173B"/>
    <w:rsid w:val="004E7850"/>
    <w:rsid w:val="004F4AE2"/>
    <w:rsid w:val="004F7C12"/>
    <w:rsid w:val="00501DA8"/>
    <w:rsid w:val="00504FE9"/>
    <w:rsid w:val="00521F15"/>
    <w:rsid w:val="00522F76"/>
    <w:rsid w:val="00525C88"/>
    <w:rsid w:val="005263C4"/>
    <w:rsid w:val="005271C7"/>
    <w:rsid w:val="00532C72"/>
    <w:rsid w:val="00533147"/>
    <w:rsid w:val="00534438"/>
    <w:rsid w:val="00536AF1"/>
    <w:rsid w:val="00543B8A"/>
    <w:rsid w:val="00544AD0"/>
    <w:rsid w:val="00552839"/>
    <w:rsid w:val="005566EA"/>
    <w:rsid w:val="005606EC"/>
    <w:rsid w:val="00560850"/>
    <w:rsid w:val="00560CB4"/>
    <w:rsid w:val="00571681"/>
    <w:rsid w:val="0057473D"/>
    <w:rsid w:val="005768D1"/>
    <w:rsid w:val="0057717C"/>
    <w:rsid w:val="00590A01"/>
    <w:rsid w:val="0059482F"/>
    <w:rsid w:val="005B091B"/>
    <w:rsid w:val="005B1FD3"/>
    <w:rsid w:val="005B4980"/>
    <w:rsid w:val="005B5661"/>
    <w:rsid w:val="005B772A"/>
    <w:rsid w:val="005B7D4A"/>
    <w:rsid w:val="005C64EA"/>
    <w:rsid w:val="005E5963"/>
    <w:rsid w:val="005E7EFC"/>
    <w:rsid w:val="005F2BD3"/>
    <w:rsid w:val="00600DCA"/>
    <w:rsid w:val="006041D2"/>
    <w:rsid w:val="00612417"/>
    <w:rsid w:val="00612AD1"/>
    <w:rsid w:val="00612B64"/>
    <w:rsid w:val="006171A0"/>
    <w:rsid w:val="00634BB0"/>
    <w:rsid w:val="0063591E"/>
    <w:rsid w:val="00636A4A"/>
    <w:rsid w:val="00655088"/>
    <w:rsid w:val="00657FC5"/>
    <w:rsid w:val="00661E54"/>
    <w:rsid w:val="00666308"/>
    <w:rsid w:val="00670A9F"/>
    <w:rsid w:val="006830D2"/>
    <w:rsid w:val="00684562"/>
    <w:rsid w:val="006971CC"/>
    <w:rsid w:val="006A46DF"/>
    <w:rsid w:val="006A5C38"/>
    <w:rsid w:val="006B0CE2"/>
    <w:rsid w:val="006B7EE6"/>
    <w:rsid w:val="006D1805"/>
    <w:rsid w:val="006F2541"/>
    <w:rsid w:val="006F3973"/>
    <w:rsid w:val="007109EF"/>
    <w:rsid w:val="007267E1"/>
    <w:rsid w:val="00727A40"/>
    <w:rsid w:val="00733AFC"/>
    <w:rsid w:val="007379EE"/>
    <w:rsid w:val="00741E35"/>
    <w:rsid w:val="007420E8"/>
    <w:rsid w:val="00755E47"/>
    <w:rsid w:val="00763FA0"/>
    <w:rsid w:val="00767C89"/>
    <w:rsid w:val="007710CB"/>
    <w:rsid w:val="0077631F"/>
    <w:rsid w:val="00776FBC"/>
    <w:rsid w:val="00790AB8"/>
    <w:rsid w:val="00796482"/>
    <w:rsid w:val="007B12C4"/>
    <w:rsid w:val="007B1311"/>
    <w:rsid w:val="007C1BFB"/>
    <w:rsid w:val="007C30B4"/>
    <w:rsid w:val="007C679B"/>
    <w:rsid w:val="007C7112"/>
    <w:rsid w:val="00800E73"/>
    <w:rsid w:val="00800F1D"/>
    <w:rsid w:val="00810155"/>
    <w:rsid w:val="0082116C"/>
    <w:rsid w:val="00821E50"/>
    <w:rsid w:val="008220A2"/>
    <w:rsid w:val="008224DA"/>
    <w:rsid w:val="0082324A"/>
    <w:rsid w:val="00826B66"/>
    <w:rsid w:val="00826BD1"/>
    <w:rsid w:val="00832715"/>
    <w:rsid w:val="00833842"/>
    <w:rsid w:val="00837A8C"/>
    <w:rsid w:val="00853849"/>
    <w:rsid w:val="0085733D"/>
    <w:rsid w:val="00857F49"/>
    <w:rsid w:val="00863CC9"/>
    <w:rsid w:val="00864719"/>
    <w:rsid w:val="008661EB"/>
    <w:rsid w:val="00866594"/>
    <w:rsid w:val="0089155E"/>
    <w:rsid w:val="00896556"/>
    <w:rsid w:val="008A4139"/>
    <w:rsid w:val="008A444C"/>
    <w:rsid w:val="008B35E9"/>
    <w:rsid w:val="008B5DDF"/>
    <w:rsid w:val="008C06E2"/>
    <w:rsid w:val="008C6735"/>
    <w:rsid w:val="008F7D03"/>
    <w:rsid w:val="00900CD4"/>
    <w:rsid w:val="00913BCE"/>
    <w:rsid w:val="00914BFA"/>
    <w:rsid w:val="009469EA"/>
    <w:rsid w:val="00946A01"/>
    <w:rsid w:val="00971E86"/>
    <w:rsid w:val="0098066C"/>
    <w:rsid w:val="00984897"/>
    <w:rsid w:val="009856E6"/>
    <w:rsid w:val="009876D1"/>
    <w:rsid w:val="00990144"/>
    <w:rsid w:val="00993DBD"/>
    <w:rsid w:val="009A48D9"/>
    <w:rsid w:val="009A4B9B"/>
    <w:rsid w:val="009A64D1"/>
    <w:rsid w:val="009A7B13"/>
    <w:rsid w:val="009B0BF4"/>
    <w:rsid w:val="009C112B"/>
    <w:rsid w:val="009E6984"/>
    <w:rsid w:val="00A05E57"/>
    <w:rsid w:val="00A14D70"/>
    <w:rsid w:val="00A20C4C"/>
    <w:rsid w:val="00A20D66"/>
    <w:rsid w:val="00A23E12"/>
    <w:rsid w:val="00A26713"/>
    <w:rsid w:val="00A30696"/>
    <w:rsid w:val="00A33FE6"/>
    <w:rsid w:val="00A42740"/>
    <w:rsid w:val="00A42E1C"/>
    <w:rsid w:val="00A52332"/>
    <w:rsid w:val="00A54F56"/>
    <w:rsid w:val="00A55E55"/>
    <w:rsid w:val="00A67E23"/>
    <w:rsid w:val="00A91DA8"/>
    <w:rsid w:val="00A927DF"/>
    <w:rsid w:val="00A92A6A"/>
    <w:rsid w:val="00AC14AB"/>
    <w:rsid w:val="00AC58B5"/>
    <w:rsid w:val="00AE49C6"/>
    <w:rsid w:val="00AE5073"/>
    <w:rsid w:val="00AE5CBC"/>
    <w:rsid w:val="00AF29A7"/>
    <w:rsid w:val="00AF2B53"/>
    <w:rsid w:val="00AF4F4F"/>
    <w:rsid w:val="00B00395"/>
    <w:rsid w:val="00B04924"/>
    <w:rsid w:val="00B1527A"/>
    <w:rsid w:val="00B17B72"/>
    <w:rsid w:val="00B31903"/>
    <w:rsid w:val="00B36061"/>
    <w:rsid w:val="00B43938"/>
    <w:rsid w:val="00B511C4"/>
    <w:rsid w:val="00B52CB4"/>
    <w:rsid w:val="00B54223"/>
    <w:rsid w:val="00B620A7"/>
    <w:rsid w:val="00B62ED2"/>
    <w:rsid w:val="00B63548"/>
    <w:rsid w:val="00B63CEE"/>
    <w:rsid w:val="00B70747"/>
    <w:rsid w:val="00B73134"/>
    <w:rsid w:val="00BD03AD"/>
    <w:rsid w:val="00BD5213"/>
    <w:rsid w:val="00BD5AF1"/>
    <w:rsid w:val="00BE5E99"/>
    <w:rsid w:val="00BF0E7F"/>
    <w:rsid w:val="00BF2972"/>
    <w:rsid w:val="00C007D9"/>
    <w:rsid w:val="00C055B0"/>
    <w:rsid w:val="00C309F7"/>
    <w:rsid w:val="00C41639"/>
    <w:rsid w:val="00C437F1"/>
    <w:rsid w:val="00C47200"/>
    <w:rsid w:val="00C51F4D"/>
    <w:rsid w:val="00C73887"/>
    <w:rsid w:val="00C84E35"/>
    <w:rsid w:val="00C86622"/>
    <w:rsid w:val="00C91050"/>
    <w:rsid w:val="00C92003"/>
    <w:rsid w:val="00CA58DA"/>
    <w:rsid w:val="00CB0680"/>
    <w:rsid w:val="00CB7E63"/>
    <w:rsid w:val="00CB7F08"/>
    <w:rsid w:val="00CC2CBB"/>
    <w:rsid w:val="00CC6F99"/>
    <w:rsid w:val="00CD1E29"/>
    <w:rsid w:val="00CD6DBE"/>
    <w:rsid w:val="00CE1299"/>
    <w:rsid w:val="00CE12DA"/>
    <w:rsid w:val="00CE3AED"/>
    <w:rsid w:val="00CE7A48"/>
    <w:rsid w:val="00CF322E"/>
    <w:rsid w:val="00CF5648"/>
    <w:rsid w:val="00CF6D55"/>
    <w:rsid w:val="00D01A84"/>
    <w:rsid w:val="00D0603F"/>
    <w:rsid w:val="00D1111E"/>
    <w:rsid w:val="00D11EE2"/>
    <w:rsid w:val="00D268A0"/>
    <w:rsid w:val="00D35C3B"/>
    <w:rsid w:val="00D37C2F"/>
    <w:rsid w:val="00D47E6B"/>
    <w:rsid w:val="00D50DF3"/>
    <w:rsid w:val="00D549F7"/>
    <w:rsid w:val="00D57973"/>
    <w:rsid w:val="00D725B6"/>
    <w:rsid w:val="00D7707D"/>
    <w:rsid w:val="00D77638"/>
    <w:rsid w:val="00D900C5"/>
    <w:rsid w:val="00D9180C"/>
    <w:rsid w:val="00D965BB"/>
    <w:rsid w:val="00DA0DD7"/>
    <w:rsid w:val="00DB2AC7"/>
    <w:rsid w:val="00DB7B00"/>
    <w:rsid w:val="00DC2AF5"/>
    <w:rsid w:val="00DC3CD6"/>
    <w:rsid w:val="00DC79C6"/>
    <w:rsid w:val="00DD2E10"/>
    <w:rsid w:val="00DD4F4D"/>
    <w:rsid w:val="00DD70AD"/>
    <w:rsid w:val="00DD7B2D"/>
    <w:rsid w:val="00DE2389"/>
    <w:rsid w:val="00DE2AF0"/>
    <w:rsid w:val="00DE3670"/>
    <w:rsid w:val="00DF270D"/>
    <w:rsid w:val="00DF644F"/>
    <w:rsid w:val="00E03492"/>
    <w:rsid w:val="00E04717"/>
    <w:rsid w:val="00E04D4B"/>
    <w:rsid w:val="00E051A2"/>
    <w:rsid w:val="00E12E29"/>
    <w:rsid w:val="00E2300D"/>
    <w:rsid w:val="00E23417"/>
    <w:rsid w:val="00E303A3"/>
    <w:rsid w:val="00E30893"/>
    <w:rsid w:val="00E401A3"/>
    <w:rsid w:val="00E44CB1"/>
    <w:rsid w:val="00E72A9D"/>
    <w:rsid w:val="00E82393"/>
    <w:rsid w:val="00E93E08"/>
    <w:rsid w:val="00E954FE"/>
    <w:rsid w:val="00EA350A"/>
    <w:rsid w:val="00EA4471"/>
    <w:rsid w:val="00EC15E9"/>
    <w:rsid w:val="00EC190A"/>
    <w:rsid w:val="00ED217F"/>
    <w:rsid w:val="00ED3421"/>
    <w:rsid w:val="00EE71CB"/>
    <w:rsid w:val="00EE7CBC"/>
    <w:rsid w:val="00EF4B41"/>
    <w:rsid w:val="00EF6379"/>
    <w:rsid w:val="00EF690F"/>
    <w:rsid w:val="00F040B2"/>
    <w:rsid w:val="00F10948"/>
    <w:rsid w:val="00F10B56"/>
    <w:rsid w:val="00F1369F"/>
    <w:rsid w:val="00F14980"/>
    <w:rsid w:val="00F2479E"/>
    <w:rsid w:val="00F24ED1"/>
    <w:rsid w:val="00F32B39"/>
    <w:rsid w:val="00F37C15"/>
    <w:rsid w:val="00F37DC0"/>
    <w:rsid w:val="00F40745"/>
    <w:rsid w:val="00F53539"/>
    <w:rsid w:val="00F659D8"/>
    <w:rsid w:val="00F70106"/>
    <w:rsid w:val="00F7614B"/>
    <w:rsid w:val="00F802A5"/>
    <w:rsid w:val="00F80A14"/>
    <w:rsid w:val="00F8526C"/>
    <w:rsid w:val="00FA01E1"/>
    <w:rsid w:val="00FA23DE"/>
    <w:rsid w:val="00FA306C"/>
    <w:rsid w:val="00FB1599"/>
    <w:rsid w:val="00FB2004"/>
    <w:rsid w:val="00FB7A4D"/>
    <w:rsid w:val="00FC1303"/>
    <w:rsid w:val="00FC4BB8"/>
    <w:rsid w:val="00FC4CBA"/>
    <w:rsid w:val="00FC6D73"/>
    <w:rsid w:val="00FD1B30"/>
    <w:rsid w:val="00FD7EF5"/>
    <w:rsid w:val="00FE0B7C"/>
    <w:rsid w:val="00FE1F8F"/>
    <w:rsid w:val="00FF20D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E7D39"/>
  <w15:docId w15:val="{56A68C33-E727-4D46-8567-68A073E1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3EC"/>
    <w:pPr>
      <w:spacing w:after="240" w:line="259" w:lineRule="auto"/>
      <w:ind w:firstLine="720"/>
    </w:pPr>
    <w:rPr>
      <w:rFonts w:ascii="Garamond" w:hAnsi="Garamond"/>
      <w:color w:val="00000A"/>
      <w:sz w:val="24"/>
      <w:szCs w:val="24"/>
    </w:rPr>
  </w:style>
  <w:style w:type="paragraph" w:styleId="Heading1">
    <w:name w:val="heading 1"/>
    <w:basedOn w:val="Normal"/>
    <w:next w:val="Normal"/>
    <w:link w:val="Heading1Char"/>
    <w:uiPriority w:val="9"/>
    <w:qFormat/>
    <w:rsid w:val="00F04388"/>
    <w:pPr>
      <w:numPr>
        <w:numId w:val="1"/>
      </w:numPr>
      <w:jc w:val="center"/>
      <w:outlineLvl w:val="0"/>
    </w:pPr>
    <w:rPr>
      <w:b/>
      <w:caps/>
    </w:rPr>
  </w:style>
  <w:style w:type="paragraph" w:styleId="Heading2">
    <w:name w:val="heading 2"/>
    <w:basedOn w:val="Normal"/>
    <w:next w:val="Normal"/>
    <w:link w:val="Heading2Char"/>
    <w:uiPriority w:val="9"/>
    <w:unhideWhenUsed/>
    <w:qFormat/>
    <w:rsid w:val="008A4950"/>
    <w:pPr>
      <w:widowControl w:val="0"/>
      <w:numPr>
        <w:ilvl w:val="1"/>
        <w:numId w:val="1"/>
      </w:numPr>
      <w:spacing w:before="40"/>
      <w:outlineLvl w:val="1"/>
    </w:pPr>
    <w:rPr>
      <w:rFonts w:eastAsiaTheme="majorEastAsia" w:cstheme="majorBidi"/>
      <w:b/>
    </w:rPr>
  </w:style>
  <w:style w:type="paragraph" w:styleId="Heading3">
    <w:name w:val="heading 3"/>
    <w:basedOn w:val="Normal"/>
    <w:next w:val="Normal"/>
    <w:link w:val="Heading3Char"/>
    <w:uiPriority w:val="9"/>
    <w:unhideWhenUsed/>
    <w:qFormat/>
    <w:rsid w:val="008A4950"/>
    <w:pPr>
      <w:widowControl w:val="0"/>
      <w:numPr>
        <w:ilvl w:val="2"/>
        <w:numId w:val="1"/>
      </w:numPr>
      <w:spacing w:before="240"/>
      <w:outlineLvl w:val="2"/>
    </w:pPr>
    <w:rPr>
      <w:rFonts w:eastAsiaTheme="majorEastAsia" w:cstheme="majorBidi"/>
    </w:rPr>
  </w:style>
  <w:style w:type="paragraph" w:styleId="Heading4">
    <w:name w:val="heading 4"/>
    <w:basedOn w:val="Heading3"/>
    <w:next w:val="Normal"/>
    <w:link w:val="Heading4Char"/>
    <w:uiPriority w:val="9"/>
    <w:unhideWhenUsed/>
    <w:qFormat/>
    <w:rsid w:val="00BC68F9"/>
    <w:pPr>
      <w:numPr>
        <w:ilvl w:val="3"/>
      </w:numPr>
      <w:spacing w:line="240" w:lineRule="auto"/>
      <w:outlineLvl w:val="3"/>
    </w:pPr>
  </w:style>
  <w:style w:type="paragraph" w:styleId="Heading5">
    <w:name w:val="heading 5"/>
    <w:basedOn w:val="Normal"/>
    <w:next w:val="Normal"/>
    <w:link w:val="Heading5Char"/>
    <w:uiPriority w:val="9"/>
    <w:semiHidden/>
    <w:unhideWhenUsed/>
    <w:qFormat/>
    <w:rsid w:val="00386FE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86FE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86FE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86FE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6FE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8A4950"/>
    <w:rPr>
      <w:rFonts w:ascii="Garamond" w:eastAsiaTheme="majorEastAsia" w:hAnsi="Garamond" w:cstheme="majorBidi"/>
      <w:b/>
      <w:sz w:val="24"/>
      <w:szCs w:val="24"/>
    </w:rPr>
  </w:style>
  <w:style w:type="character" w:customStyle="1" w:styleId="Heading1Char">
    <w:name w:val="Heading 1 Char"/>
    <w:basedOn w:val="DefaultParagraphFont"/>
    <w:link w:val="Heading1"/>
    <w:uiPriority w:val="9"/>
    <w:qFormat/>
    <w:rsid w:val="00F04388"/>
    <w:rPr>
      <w:rFonts w:ascii="Garamond" w:hAnsi="Garamond"/>
      <w:b/>
      <w:caps/>
      <w:sz w:val="24"/>
      <w:szCs w:val="24"/>
    </w:rPr>
  </w:style>
  <w:style w:type="character" w:customStyle="1" w:styleId="Heading3Char">
    <w:name w:val="Heading 3 Char"/>
    <w:basedOn w:val="DefaultParagraphFont"/>
    <w:link w:val="Heading3"/>
    <w:uiPriority w:val="9"/>
    <w:qFormat/>
    <w:rsid w:val="008A4950"/>
    <w:rPr>
      <w:rFonts w:ascii="Garamond" w:eastAsiaTheme="majorEastAsia" w:hAnsi="Garamond" w:cstheme="majorBidi"/>
      <w:sz w:val="24"/>
      <w:szCs w:val="24"/>
    </w:rPr>
  </w:style>
  <w:style w:type="character" w:customStyle="1" w:styleId="Heading4Char">
    <w:name w:val="Heading 4 Char"/>
    <w:basedOn w:val="DefaultParagraphFont"/>
    <w:link w:val="Heading4"/>
    <w:uiPriority w:val="9"/>
    <w:qFormat/>
    <w:rsid w:val="00BC68F9"/>
    <w:rPr>
      <w:rFonts w:ascii="Garamond" w:eastAsiaTheme="majorEastAsia" w:hAnsi="Garamond" w:cstheme="majorBidi"/>
      <w:sz w:val="24"/>
      <w:szCs w:val="24"/>
    </w:rPr>
  </w:style>
  <w:style w:type="character" w:customStyle="1" w:styleId="Heading5Char">
    <w:name w:val="Heading 5 Char"/>
    <w:basedOn w:val="DefaultParagraphFont"/>
    <w:link w:val="Heading5"/>
    <w:uiPriority w:val="9"/>
    <w:semiHidden/>
    <w:qFormat/>
    <w:rsid w:val="00386FE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386FE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qFormat/>
    <w:rsid w:val="00386FE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qFormat/>
    <w:rsid w:val="00386F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386FEC"/>
    <w:rPr>
      <w:rFonts w:asciiTheme="majorHAnsi" w:eastAsiaTheme="majorEastAsia" w:hAnsiTheme="majorHAnsi" w:cstheme="majorBidi"/>
      <w:i/>
      <w:iCs/>
      <w:color w:val="272727" w:themeColor="text1" w:themeTint="D8"/>
      <w:sz w:val="21"/>
      <w:szCs w:val="21"/>
    </w:rPr>
  </w:style>
  <w:style w:type="character" w:customStyle="1" w:styleId="SubtitleChar">
    <w:name w:val="Subtitle Char"/>
    <w:basedOn w:val="DefaultParagraphFont"/>
    <w:link w:val="Subtitle"/>
    <w:uiPriority w:val="11"/>
    <w:qFormat/>
    <w:rsid w:val="00386FEC"/>
    <w:rPr>
      <w:rFonts w:eastAsiaTheme="minorEastAsia"/>
      <w:color w:val="5A5A5A" w:themeColor="text1" w:themeTint="A5"/>
      <w:spacing w:val="15"/>
    </w:rPr>
  </w:style>
  <w:style w:type="character" w:customStyle="1" w:styleId="TitleChar">
    <w:name w:val="Title Char"/>
    <w:basedOn w:val="DefaultParagraphFont"/>
    <w:link w:val="Title"/>
    <w:uiPriority w:val="10"/>
    <w:qFormat/>
    <w:rsid w:val="00301231"/>
    <w:rPr>
      <w:rFonts w:ascii="Garamond" w:hAnsi="Garamond"/>
      <w:b/>
      <w:sz w:val="24"/>
      <w:szCs w:val="24"/>
    </w:rPr>
  </w:style>
  <w:style w:type="character" w:customStyle="1" w:styleId="InternetLink">
    <w:name w:val="Internet Link"/>
    <w:basedOn w:val="DefaultParagraphFont"/>
    <w:uiPriority w:val="99"/>
    <w:unhideWhenUsed/>
    <w:rsid w:val="008015E5"/>
    <w:rPr>
      <w:color w:val="0563C1" w:themeColor="hyperlink"/>
      <w:u w:val="single"/>
    </w:rPr>
  </w:style>
  <w:style w:type="character" w:customStyle="1" w:styleId="BodyTextIndentChar">
    <w:name w:val="Body Text Indent Char"/>
    <w:basedOn w:val="DefaultParagraphFont"/>
    <w:link w:val="BodyTextIndent"/>
    <w:qFormat/>
    <w:rsid w:val="00EE3273"/>
    <w:rPr>
      <w:rFonts w:ascii="Garamond" w:eastAsia="Times New Roman" w:hAnsi="Garamond" w:cs="Times New Roman"/>
      <w:sz w:val="24"/>
      <w:szCs w:val="20"/>
    </w:rPr>
  </w:style>
  <w:style w:type="character" w:customStyle="1" w:styleId="BodyTextIndent2Char">
    <w:name w:val="Body Text Indent 2 Char"/>
    <w:basedOn w:val="DefaultParagraphFont"/>
    <w:link w:val="BodyTextIndent2"/>
    <w:qFormat/>
    <w:rsid w:val="00EE3273"/>
    <w:rPr>
      <w:rFonts w:ascii="Garamond" w:eastAsia="Times New Roman" w:hAnsi="Garamond" w:cs="Times New Roman"/>
      <w:sz w:val="24"/>
      <w:szCs w:val="20"/>
    </w:rPr>
  </w:style>
  <w:style w:type="character" w:customStyle="1" w:styleId="FootnoteTextChar">
    <w:name w:val="Footnote Text Char"/>
    <w:basedOn w:val="DefaultParagraphFont"/>
    <w:link w:val="FootnoteText"/>
    <w:semiHidden/>
    <w:qFormat/>
    <w:rsid w:val="00EE3273"/>
    <w:rPr>
      <w:rFonts w:ascii="Helvetica" w:eastAsia="Times New Roman" w:hAnsi="Helvetica" w:cs="Times New Roman"/>
      <w:sz w:val="20"/>
      <w:szCs w:val="20"/>
    </w:rPr>
  </w:style>
  <w:style w:type="character" w:styleId="FootnoteReference">
    <w:name w:val="footnote reference"/>
    <w:semiHidden/>
    <w:qFormat/>
    <w:rsid w:val="00EE3273"/>
    <w:rPr>
      <w:vertAlign w:val="superscript"/>
    </w:rPr>
  </w:style>
  <w:style w:type="character" w:customStyle="1" w:styleId="BalloonTextChar">
    <w:name w:val="Balloon Text Char"/>
    <w:basedOn w:val="DefaultParagraphFont"/>
    <w:link w:val="BalloonText"/>
    <w:uiPriority w:val="99"/>
    <w:semiHidden/>
    <w:qFormat/>
    <w:rsid w:val="006563A1"/>
    <w:rPr>
      <w:rFonts w:ascii="Segoe UI" w:hAnsi="Segoe UI" w:cs="Segoe UI"/>
      <w:sz w:val="18"/>
      <w:szCs w:val="18"/>
    </w:rPr>
  </w:style>
  <w:style w:type="character" w:customStyle="1" w:styleId="FooterChar">
    <w:name w:val="Footer Char"/>
    <w:basedOn w:val="DefaultParagraphFont"/>
    <w:link w:val="Footer"/>
    <w:uiPriority w:val="99"/>
    <w:qFormat/>
    <w:rsid w:val="00252CF1"/>
    <w:rPr>
      <w:rFonts w:ascii="Helvetica" w:eastAsia="Times New Roman" w:hAnsi="Helvetica" w:cs="Times New Roman"/>
      <w:sz w:val="24"/>
      <w:szCs w:val="20"/>
    </w:rPr>
  </w:style>
  <w:style w:type="character" w:customStyle="1" w:styleId="BodyTextIndent3Char">
    <w:name w:val="Body Text Indent 3 Char"/>
    <w:basedOn w:val="DefaultParagraphFont"/>
    <w:link w:val="BodyTextIndent3"/>
    <w:uiPriority w:val="99"/>
    <w:semiHidden/>
    <w:qFormat/>
    <w:rsid w:val="00A327B7"/>
    <w:rPr>
      <w:rFonts w:ascii="Garamond" w:hAnsi="Garamond"/>
      <w:sz w:val="16"/>
      <w:szCs w:val="16"/>
    </w:rPr>
  </w:style>
  <w:style w:type="character" w:styleId="CommentReference">
    <w:name w:val="annotation reference"/>
    <w:basedOn w:val="DefaultParagraphFont"/>
    <w:uiPriority w:val="99"/>
    <w:unhideWhenUsed/>
    <w:qFormat/>
    <w:rsid w:val="0083268F"/>
    <w:rPr>
      <w:sz w:val="16"/>
      <w:szCs w:val="16"/>
    </w:rPr>
  </w:style>
  <w:style w:type="character" w:customStyle="1" w:styleId="CommentTextChar">
    <w:name w:val="Comment Text Char"/>
    <w:basedOn w:val="DefaultParagraphFont"/>
    <w:link w:val="CommentText"/>
    <w:qFormat/>
    <w:rsid w:val="0083268F"/>
    <w:rPr>
      <w:rFonts w:ascii="Garamond" w:hAnsi="Garamond"/>
      <w:sz w:val="20"/>
      <w:szCs w:val="20"/>
    </w:rPr>
  </w:style>
  <w:style w:type="character" w:customStyle="1" w:styleId="CommentSubjectChar">
    <w:name w:val="Comment Subject Char"/>
    <w:basedOn w:val="CommentTextChar"/>
    <w:link w:val="CommentSubject"/>
    <w:uiPriority w:val="99"/>
    <w:semiHidden/>
    <w:qFormat/>
    <w:rsid w:val="0083268F"/>
    <w:rPr>
      <w:rFonts w:ascii="Garamond" w:hAnsi="Garamond"/>
      <w:b/>
      <w:bCs/>
      <w:sz w:val="20"/>
      <w:szCs w:val="20"/>
    </w:rPr>
  </w:style>
  <w:style w:type="character" w:customStyle="1" w:styleId="HeaderChar">
    <w:name w:val="Header Char"/>
    <w:basedOn w:val="DefaultParagraphFont"/>
    <w:link w:val="Header"/>
    <w:uiPriority w:val="99"/>
    <w:qFormat/>
    <w:rsid w:val="0022618F"/>
    <w:rPr>
      <w:rFonts w:ascii="Garamond" w:hAnsi="Garamond"/>
      <w:sz w:val="24"/>
      <w:szCs w:val="24"/>
    </w:rPr>
  </w:style>
  <w:style w:type="character" w:styleId="FollowedHyperlink">
    <w:name w:val="FollowedHyperlink"/>
    <w:basedOn w:val="DefaultParagraphFont"/>
    <w:uiPriority w:val="99"/>
    <w:semiHidden/>
    <w:unhideWhenUsed/>
    <w:qFormat/>
    <w:rsid w:val="0022618F"/>
    <w:rPr>
      <w:color w:val="954F72" w:themeColor="followedHyperlink"/>
      <w:u w:val="single"/>
    </w:rPr>
  </w:style>
  <w:style w:type="character" w:customStyle="1" w:styleId="ListLabel1">
    <w:name w:val="ListLabel 1"/>
    <w:qFormat/>
    <w:rPr>
      <w:b/>
    </w:rPr>
  </w:style>
  <w:style w:type="character" w:customStyle="1" w:styleId="ListLabel2">
    <w:name w:val="ListLabel 2"/>
    <w:qFormat/>
    <w:rPr>
      <w:b/>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IndexLink">
    <w:name w:val="Index Link"/>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Subtitle">
    <w:name w:val="Subtitle"/>
    <w:basedOn w:val="Normal"/>
    <w:next w:val="Normal"/>
    <w:link w:val="SubtitleChar"/>
    <w:uiPriority w:val="11"/>
    <w:qFormat/>
    <w:rsid w:val="00386FEC"/>
    <w:rPr>
      <w:rFonts w:eastAsiaTheme="minorEastAsia"/>
      <w:color w:val="5A5A5A" w:themeColor="text1" w:themeTint="A5"/>
      <w:spacing w:val="15"/>
    </w:rPr>
  </w:style>
  <w:style w:type="paragraph" w:styleId="Title">
    <w:name w:val="Title"/>
    <w:basedOn w:val="Normal"/>
    <w:next w:val="Normal"/>
    <w:link w:val="TitleChar"/>
    <w:uiPriority w:val="10"/>
    <w:qFormat/>
    <w:rsid w:val="00301231"/>
    <w:pPr>
      <w:ind w:firstLine="0"/>
      <w:jc w:val="center"/>
    </w:pPr>
    <w:rPr>
      <w:b/>
    </w:rPr>
  </w:style>
  <w:style w:type="paragraph" w:styleId="TOCHeading">
    <w:name w:val="TOC Heading"/>
    <w:basedOn w:val="Heading1"/>
    <w:next w:val="Normal"/>
    <w:uiPriority w:val="39"/>
    <w:unhideWhenUsed/>
    <w:qFormat/>
    <w:rsid w:val="00301231"/>
    <w:pPr>
      <w:keepNext/>
      <w:keepLines/>
      <w:numPr>
        <w:numId w:val="0"/>
      </w:numPr>
      <w:spacing w:before="240" w:after="0"/>
      <w:ind w:firstLine="720"/>
    </w:pPr>
    <w:rPr>
      <w:rFonts w:eastAsiaTheme="majorEastAsia" w:cstheme="majorBidi"/>
    </w:rPr>
  </w:style>
  <w:style w:type="paragraph" w:styleId="TOC1">
    <w:name w:val="toc 1"/>
    <w:basedOn w:val="Normal"/>
    <w:next w:val="Normal"/>
    <w:autoRedefine/>
    <w:uiPriority w:val="39"/>
    <w:unhideWhenUsed/>
    <w:rsid w:val="00896556"/>
    <w:pPr>
      <w:tabs>
        <w:tab w:val="left" w:pos="1200"/>
        <w:tab w:val="right" w:leader="dot" w:pos="9350"/>
      </w:tabs>
      <w:spacing w:before="120" w:after="120"/>
      <w:ind w:firstLine="0"/>
    </w:pPr>
    <w:rPr>
      <w:rFonts w:asciiTheme="minorHAnsi" w:hAnsiTheme="minorHAnsi"/>
      <w:b/>
      <w:bCs/>
      <w:caps/>
      <w:sz w:val="20"/>
      <w:szCs w:val="20"/>
    </w:rPr>
  </w:style>
  <w:style w:type="paragraph" w:styleId="TOC2">
    <w:name w:val="toc 2"/>
    <w:basedOn w:val="Normal"/>
    <w:next w:val="Normal"/>
    <w:autoRedefine/>
    <w:uiPriority w:val="39"/>
    <w:unhideWhenUsed/>
    <w:rsid w:val="00896556"/>
    <w:pPr>
      <w:tabs>
        <w:tab w:val="left" w:pos="1440"/>
        <w:tab w:val="right" w:leader="dot" w:pos="9350"/>
      </w:tabs>
      <w:spacing w:after="0"/>
      <w:ind w:left="965" w:hanging="720"/>
    </w:pPr>
    <w:rPr>
      <w:rFonts w:asciiTheme="minorHAnsi" w:hAnsiTheme="minorHAnsi"/>
      <w:smallCaps/>
      <w:sz w:val="20"/>
      <w:szCs w:val="20"/>
    </w:rPr>
  </w:style>
  <w:style w:type="paragraph" w:styleId="TOC3">
    <w:name w:val="toc 3"/>
    <w:basedOn w:val="Normal"/>
    <w:next w:val="Normal"/>
    <w:autoRedefine/>
    <w:uiPriority w:val="39"/>
    <w:unhideWhenUsed/>
    <w:rsid w:val="00301231"/>
    <w:pPr>
      <w:spacing w:after="0"/>
      <w:ind w:left="480"/>
    </w:pPr>
    <w:rPr>
      <w:rFonts w:asciiTheme="minorHAnsi" w:hAnsiTheme="minorHAnsi"/>
      <w:i/>
      <w:iCs/>
      <w:sz w:val="20"/>
      <w:szCs w:val="20"/>
    </w:rPr>
  </w:style>
  <w:style w:type="paragraph" w:styleId="TOC4">
    <w:name w:val="toc 4"/>
    <w:basedOn w:val="Normal"/>
    <w:next w:val="Normal"/>
    <w:autoRedefine/>
    <w:uiPriority w:val="39"/>
    <w:unhideWhenUsed/>
    <w:rsid w:val="008015E5"/>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015E5"/>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015E5"/>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015E5"/>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015E5"/>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015E5"/>
    <w:pPr>
      <w:spacing w:after="0"/>
      <w:ind w:left="1920"/>
    </w:pPr>
    <w:rPr>
      <w:rFonts w:asciiTheme="minorHAnsi" w:hAnsiTheme="minorHAnsi"/>
      <w:sz w:val="18"/>
      <w:szCs w:val="18"/>
    </w:rPr>
  </w:style>
  <w:style w:type="paragraph" w:styleId="ListParagraph">
    <w:name w:val="List Paragraph"/>
    <w:basedOn w:val="Normal"/>
    <w:uiPriority w:val="34"/>
    <w:qFormat/>
    <w:rsid w:val="00FE44D6"/>
    <w:pPr>
      <w:tabs>
        <w:tab w:val="left" w:pos="720"/>
        <w:tab w:val="left" w:pos="2340"/>
      </w:tabs>
      <w:spacing w:after="0"/>
      <w:ind w:left="2160" w:right="115" w:hanging="1440"/>
    </w:pPr>
  </w:style>
  <w:style w:type="paragraph" w:styleId="BodyTextIndent">
    <w:name w:val="Body Text Indent"/>
    <w:basedOn w:val="Normal"/>
    <w:link w:val="BodyTextIndentChar"/>
    <w:rsid w:val="00EE3273"/>
    <w:pPr>
      <w:tabs>
        <w:tab w:val="left" w:pos="1620"/>
        <w:tab w:val="left" w:pos="1880"/>
        <w:tab w:val="left" w:pos="6300"/>
      </w:tabs>
      <w:spacing w:after="0" w:line="240" w:lineRule="auto"/>
      <w:ind w:left="1440" w:hanging="180"/>
    </w:pPr>
    <w:rPr>
      <w:rFonts w:eastAsia="Times New Roman" w:cs="Times New Roman"/>
      <w:szCs w:val="20"/>
    </w:rPr>
  </w:style>
  <w:style w:type="paragraph" w:styleId="BodyTextIndent2">
    <w:name w:val="Body Text Indent 2"/>
    <w:basedOn w:val="Normal"/>
    <w:link w:val="BodyTextIndent2Char"/>
    <w:qFormat/>
    <w:rsid w:val="00EE3273"/>
    <w:pPr>
      <w:tabs>
        <w:tab w:val="center" w:pos="4680"/>
      </w:tabs>
      <w:spacing w:after="0" w:line="240" w:lineRule="auto"/>
      <w:ind w:left="1260" w:firstLine="0"/>
    </w:pPr>
    <w:rPr>
      <w:rFonts w:eastAsia="Times New Roman" w:cs="Times New Roman"/>
      <w:szCs w:val="20"/>
    </w:rPr>
  </w:style>
  <w:style w:type="paragraph" w:styleId="FootnoteText">
    <w:name w:val="footnote text"/>
    <w:basedOn w:val="Normal"/>
    <w:link w:val="FootnoteTextChar"/>
  </w:style>
  <w:style w:type="paragraph" w:styleId="BalloonText">
    <w:name w:val="Balloon Text"/>
    <w:basedOn w:val="Normal"/>
    <w:link w:val="BalloonTextChar"/>
    <w:uiPriority w:val="99"/>
    <w:semiHidden/>
    <w:unhideWhenUsed/>
    <w:qFormat/>
    <w:rsid w:val="006563A1"/>
    <w:pPr>
      <w:spacing w:after="0" w:line="240" w:lineRule="auto"/>
    </w:pPr>
    <w:rPr>
      <w:rFonts w:ascii="Segoe UI" w:hAnsi="Segoe UI" w:cs="Segoe UI"/>
      <w:sz w:val="18"/>
      <w:szCs w:val="18"/>
    </w:rPr>
  </w:style>
  <w:style w:type="paragraph" w:styleId="Footer">
    <w:name w:val="footer"/>
    <w:basedOn w:val="Normal"/>
    <w:link w:val="FooterChar"/>
    <w:uiPriority w:val="99"/>
    <w:rsid w:val="00252CF1"/>
    <w:pPr>
      <w:tabs>
        <w:tab w:val="center" w:pos="4320"/>
        <w:tab w:val="right" w:pos="8640"/>
      </w:tabs>
      <w:spacing w:after="0" w:line="240" w:lineRule="auto"/>
      <w:ind w:firstLine="0"/>
    </w:pPr>
    <w:rPr>
      <w:rFonts w:ascii="Helvetica" w:eastAsia="Times New Roman" w:hAnsi="Helvetica" w:cs="Times New Roman"/>
      <w:szCs w:val="20"/>
    </w:rPr>
  </w:style>
  <w:style w:type="paragraph" w:styleId="BodyTextIndent3">
    <w:name w:val="Body Text Indent 3"/>
    <w:basedOn w:val="Normal"/>
    <w:link w:val="BodyTextIndent3Char"/>
    <w:uiPriority w:val="99"/>
    <w:semiHidden/>
    <w:unhideWhenUsed/>
    <w:qFormat/>
    <w:rsid w:val="00A327B7"/>
    <w:pPr>
      <w:spacing w:after="120"/>
      <w:ind w:left="360"/>
    </w:pPr>
    <w:rPr>
      <w:sz w:val="16"/>
      <w:szCs w:val="16"/>
    </w:rPr>
  </w:style>
  <w:style w:type="paragraph" w:styleId="CommentText">
    <w:name w:val="annotation text"/>
    <w:basedOn w:val="Normal"/>
    <w:link w:val="CommentTextChar"/>
    <w:unhideWhenUsed/>
    <w:qFormat/>
    <w:rsid w:val="0083268F"/>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83268F"/>
    <w:rPr>
      <w:b/>
      <w:bCs/>
    </w:rPr>
  </w:style>
  <w:style w:type="paragraph" w:styleId="Header">
    <w:name w:val="header"/>
    <w:basedOn w:val="Normal"/>
    <w:link w:val="HeaderChar"/>
    <w:uiPriority w:val="99"/>
    <w:unhideWhenUsed/>
    <w:rsid w:val="0022618F"/>
    <w:pPr>
      <w:tabs>
        <w:tab w:val="center" w:pos="4680"/>
        <w:tab w:val="right" w:pos="9360"/>
      </w:tabs>
      <w:spacing w:after="0" w:line="240" w:lineRule="auto"/>
    </w:pPr>
  </w:style>
  <w:style w:type="table" w:styleId="TableGrid">
    <w:name w:val="Table Grid"/>
    <w:basedOn w:val="TableNormal"/>
    <w:uiPriority w:val="39"/>
    <w:rsid w:val="00EE3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69EA"/>
    <w:rPr>
      <w:color w:val="0563C1" w:themeColor="hyperlink"/>
      <w:u w:val="single"/>
    </w:rPr>
  </w:style>
  <w:style w:type="paragraph" w:styleId="Revision">
    <w:name w:val="Revision"/>
    <w:hidden/>
    <w:uiPriority w:val="99"/>
    <w:semiHidden/>
    <w:rsid w:val="00EE7CBC"/>
    <w:rPr>
      <w:rFonts w:ascii="Garamond" w:hAnsi="Garamond"/>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vost.uiowa.edu/sites/provost.uiowa.edu/files/IF_Promotion%20procedure_final_4-12-16.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B19C8DC65714D8E612A1B65662658" ma:contentTypeVersion="8" ma:contentTypeDescription="Create a new document." ma:contentTypeScope="" ma:versionID="cc068cdb304f5e4c012ef482b834c4eb">
  <xsd:schema xmlns:xsd="http://www.w3.org/2001/XMLSchema" xmlns:xs="http://www.w3.org/2001/XMLSchema" xmlns:p="http://schemas.microsoft.com/office/2006/metadata/properties" xmlns:ns2="d1f5c89e-90fa-4ae9-8bac-345880fd075f" targetNamespace="http://schemas.microsoft.com/office/2006/metadata/properties" ma:root="true" ma:fieldsID="ecc1ab4ca7d69cdcc9f0e156beb1b881" ns2:_="">
    <xsd:import namespace="d1f5c89e-90fa-4ae9-8bac-345880fd07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5c89e-90fa-4ae9-8bac-345880fd0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C12ADE-EED7-4FAA-955D-9BCAD37A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5c89e-90fa-4ae9-8bac-345880fd0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FA8A1-610F-4EDA-B2F4-50151E5BF1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F28607-7CEF-4599-862C-340FD37B574B}">
  <ds:schemaRefs>
    <ds:schemaRef ds:uri="http://schemas.openxmlformats.org/officeDocument/2006/bibliography"/>
  </ds:schemaRefs>
</ds:datastoreItem>
</file>

<file path=customXml/itemProps4.xml><?xml version="1.0" encoding="utf-8"?>
<ds:datastoreItem xmlns:ds="http://schemas.openxmlformats.org/officeDocument/2006/customXml" ds:itemID="{1EA15C97-1C77-419D-8A35-B9C46527BD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6919</Words>
  <Characters>39440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46267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C Hornbuckle</dc:creator>
  <dc:description/>
  <cp:lastModifiedBy>Dasgupta, Soura</cp:lastModifiedBy>
  <cp:revision>2</cp:revision>
  <cp:lastPrinted>2017-04-24T21:57:00Z</cp:lastPrinted>
  <dcterms:created xsi:type="dcterms:W3CDTF">2024-04-23T23:13:00Z</dcterms:created>
  <dcterms:modified xsi:type="dcterms:W3CDTF">2024-04-23T23:13:00Z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The University of Iowa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0x01010034EB19C8DC65714D8E612A1B65662658</vt:lpwstr>
  </property>
  <property fmtid="{D5CDD505-2E9C-101B-9397-08002B2CF9AE}" pid="10" name="GrammarlyDocumentId">
    <vt:lpwstr>434eafe8a939040d508567f687b920f4b52a3775c70c7e3b3680d1afbe28932e</vt:lpwstr>
  </property>
</Properties>
</file>