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0D811" w14:textId="77777777" w:rsidR="00386423" w:rsidRDefault="001747A0">
      <w:pPr>
        <w:pStyle w:val="Heading1"/>
      </w:pPr>
      <w:r>
        <w:t>Course Syllabus</w:t>
      </w:r>
      <w:r w:rsidR="00870513">
        <w:t xml:space="preserve"> </w:t>
      </w:r>
      <w:r w:rsidR="00107974">
        <w:t>Aerosol Technology</w:t>
      </w:r>
    </w:p>
    <w:p w14:paraId="048DB8B4" w14:textId="1D8D9D51" w:rsidR="00386423" w:rsidRDefault="00C87F55">
      <w:pPr>
        <w:jc w:val="center"/>
      </w:pPr>
      <w:r>
        <w:t>OEH</w:t>
      </w:r>
      <w:proofErr w:type="gramStart"/>
      <w:r>
        <w:t>:6450</w:t>
      </w:r>
      <w:proofErr w:type="gramEnd"/>
    </w:p>
    <w:p w14:paraId="4BF39187" w14:textId="631CF2DA" w:rsidR="00386423" w:rsidRDefault="00386423">
      <w:pPr>
        <w:jc w:val="center"/>
      </w:pPr>
      <w:r>
        <w:t xml:space="preserve">Class Meetings: </w:t>
      </w:r>
      <w:r w:rsidR="00107974">
        <w:t>T</w:t>
      </w:r>
      <w:r w:rsidR="004040E2">
        <w:t>ues and Thurs</w:t>
      </w:r>
      <w:r w:rsidR="00FD5663">
        <w:t>;</w:t>
      </w:r>
      <w:r>
        <w:t xml:space="preserve"> </w:t>
      </w:r>
      <w:r w:rsidR="00C87F55">
        <w:t>S025B CPHB</w:t>
      </w:r>
      <w:r w:rsidR="00FD5663">
        <w:t>; 1</w:t>
      </w:r>
      <w:r w:rsidR="00E92E25">
        <w:t xml:space="preserve">1:00 </w:t>
      </w:r>
      <w:r w:rsidR="00FD5663">
        <w:t>AM – 1</w:t>
      </w:r>
      <w:r w:rsidR="00E92E25">
        <w:t>2</w:t>
      </w:r>
      <w:r w:rsidR="00FD5663">
        <w:t>:</w:t>
      </w:r>
      <w:r w:rsidR="00E92E25">
        <w:t>1</w:t>
      </w:r>
      <w:r w:rsidR="00FD5663">
        <w:t>5</w:t>
      </w:r>
      <w:r w:rsidR="00E92E25">
        <w:t xml:space="preserve"> P</w:t>
      </w:r>
      <w:r w:rsidR="00FD5663">
        <w:t>M</w:t>
      </w:r>
    </w:p>
    <w:p w14:paraId="5A22D477" w14:textId="77777777" w:rsidR="00870513" w:rsidRDefault="00870513">
      <w:pPr>
        <w:jc w:val="center"/>
      </w:pPr>
    </w:p>
    <w:p w14:paraId="053DACB4" w14:textId="77777777" w:rsidR="00386423" w:rsidRDefault="00386423"/>
    <w:p w14:paraId="2A173635" w14:textId="127A1D53" w:rsidR="00913E18" w:rsidRPr="00913E18" w:rsidRDefault="00386423">
      <w:pPr>
        <w:rPr>
          <w:bCs/>
          <w:iCs/>
          <w:sz w:val="32"/>
          <w:szCs w:val="32"/>
        </w:rPr>
      </w:pPr>
      <w:r w:rsidRPr="00913E18">
        <w:rPr>
          <w:b/>
          <w:bCs/>
          <w:iCs/>
          <w:sz w:val="32"/>
          <w:szCs w:val="32"/>
        </w:rPr>
        <w:t>Instructor</w:t>
      </w:r>
    </w:p>
    <w:p w14:paraId="5787474D" w14:textId="77777777" w:rsidR="00913E18" w:rsidRDefault="00913E18">
      <w:pPr>
        <w:rPr>
          <w:bCs/>
          <w:iCs/>
        </w:rPr>
      </w:pPr>
    </w:p>
    <w:p w14:paraId="7BC729B7" w14:textId="7F8F7990" w:rsidR="00386423" w:rsidRDefault="00386423">
      <w:r w:rsidRPr="00913E18">
        <w:rPr>
          <w:bCs/>
          <w:iCs/>
        </w:rPr>
        <w:t>Thomas Peters</w:t>
      </w:r>
      <w:r w:rsidR="00DC2152">
        <w:rPr>
          <w:bCs/>
          <w:iCs/>
        </w:rPr>
        <w:t xml:space="preserve"> </w:t>
      </w:r>
      <w:r w:rsidR="00EE41A3">
        <w:rPr>
          <w:bCs/>
          <w:iCs/>
        </w:rPr>
        <w:t>(</w:t>
      </w:r>
      <w:r w:rsidR="00C87F55">
        <w:rPr>
          <w:bCs/>
          <w:iCs/>
        </w:rPr>
        <w:t>S331 CPHB</w:t>
      </w:r>
      <w:r w:rsidR="00EE41A3">
        <w:rPr>
          <w:bCs/>
          <w:iCs/>
        </w:rPr>
        <w:t>;</w:t>
      </w:r>
      <w:r w:rsidR="00EE41A3" w:rsidRPr="00EE41A3">
        <w:t xml:space="preserve"> </w:t>
      </w:r>
      <w:hyperlink r:id="rId8" w:history="1">
        <w:r w:rsidR="00EE41A3" w:rsidRPr="001446A3">
          <w:rPr>
            <w:rStyle w:val="Hyperlink"/>
          </w:rPr>
          <w:t>thomas-m-peters@uiowa.edu</w:t>
        </w:r>
      </w:hyperlink>
      <w:r w:rsidR="00EE41A3">
        <w:rPr>
          <w:bCs/>
          <w:iCs/>
        </w:rPr>
        <w:t xml:space="preserve">; </w:t>
      </w:r>
      <w:r w:rsidR="00913E18" w:rsidRPr="00913E18">
        <w:rPr>
          <w:bCs/>
          <w:iCs/>
        </w:rPr>
        <w:t>335-4436</w:t>
      </w:r>
      <w:r w:rsidR="00EE41A3">
        <w:rPr>
          <w:bCs/>
          <w:iCs/>
        </w:rPr>
        <w:t>)</w:t>
      </w:r>
      <w:r w:rsidRPr="00913E18">
        <w:rPr>
          <w:bCs/>
          <w:iCs/>
        </w:rPr>
        <w:tab/>
      </w:r>
    </w:p>
    <w:p w14:paraId="24EA8B96" w14:textId="16FF0101" w:rsidR="0079743D" w:rsidRDefault="00DB21A2">
      <w:r>
        <w:t>Office hours available upon request</w:t>
      </w:r>
      <w:r w:rsidR="007D145E">
        <w:t>; email to set up an appointment</w:t>
      </w:r>
      <w:r w:rsidR="00C87F55">
        <w:t>.</w:t>
      </w:r>
      <w:r w:rsidR="00772059">
        <w:t xml:space="preserve"> I will also be available 30 minutes before class to answer questions. </w:t>
      </w:r>
    </w:p>
    <w:p w14:paraId="09A13571" w14:textId="77777777" w:rsidR="0079743D" w:rsidRDefault="0079743D"/>
    <w:p w14:paraId="499B2B4B" w14:textId="77777777" w:rsidR="00386423" w:rsidRDefault="00386423">
      <w:pPr>
        <w:pStyle w:val="Heading2"/>
      </w:pPr>
      <w:r>
        <w:t>Course Description</w:t>
      </w:r>
    </w:p>
    <w:p w14:paraId="60D8B9C1" w14:textId="77777777" w:rsidR="00386423" w:rsidRDefault="00386423"/>
    <w:p w14:paraId="755B1553" w14:textId="1DEC6EE6" w:rsidR="00040C46" w:rsidRDefault="00B7636F">
      <w:r>
        <w:t xml:space="preserve">An aerosol is an assembly of </w:t>
      </w:r>
      <w:r w:rsidR="00386423">
        <w:t xml:space="preserve">particles </w:t>
      </w:r>
      <w:r>
        <w:t xml:space="preserve">suspended in a </w:t>
      </w:r>
      <w:r w:rsidR="00386423">
        <w:t>gaseous medium</w:t>
      </w:r>
      <w:r>
        <w:t xml:space="preserve">. </w:t>
      </w:r>
      <w:r w:rsidR="007E3665">
        <w:t>O</w:t>
      </w:r>
      <w:r w:rsidR="00386423">
        <w:t>mnipresent in workplaces and outdoor environment</w:t>
      </w:r>
      <w:r w:rsidR="003C3817">
        <w:t>s</w:t>
      </w:r>
      <w:r w:rsidR="007E3665">
        <w:t xml:space="preserve">, aerosols </w:t>
      </w:r>
      <w:r w:rsidR="00386423">
        <w:t>include a wide ra</w:t>
      </w:r>
      <w:r w:rsidR="00640E09">
        <w:t>n</w:t>
      </w:r>
      <w:r w:rsidR="00386423">
        <w:t>ge of phenomena</w:t>
      </w:r>
      <w:r w:rsidR="007E3665">
        <w:t>,</w:t>
      </w:r>
      <w:r w:rsidR="00386423">
        <w:t xml:space="preserve"> such as dust, fume, smoke, mist, fog, haze, clouds, and smog.</w:t>
      </w:r>
      <w:r w:rsidR="00BE6908">
        <w:t xml:space="preserve"> </w:t>
      </w:r>
      <w:r w:rsidR="00386423">
        <w:t xml:space="preserve">Certain aerosols </w:t>
      </w:r>
      <w:r w:rsidR="002D77D4">
        <w:t xml:space="preserve">pose </w:t>
      </w:r>
      <w:r w:rsidR="00386423">
        <w:t>signi</w:t>
      </w:r>
      <w:r>
        <w:t xml:space="preserve">ficant health threats, while others </w:t>
      </w:r>
      <w:r w:rsidR="00386423">
        <w:t>improve the quality of our li</w:t>
      </w:r>
      <w:r>
        <w:t>v</w:t>
      </w:r>
      <w:r w:rsidR="00386423">
        <w:t>e</w:t>
      </w:r>
      <w:r>
        <w:t>s</w:t>
      </w:r>
      <w:r w:rsidR="00386423">
        <w:t>.</w:t>
      </w:r>
      <w:r w:rsidR="00BE6908">
        <w:t xml:space="preserve"> </w:t>
      </w:r>
      <w:r w:rsidR="007E3665">
        <w:t xml:space="preserve">An understanding of </w:t>
      </w:r>
      <w:r w:rsidR="002D77D4">
        <w:t xml:space="preserve">how </w:t>
      </w:r>
      <w:r w:rsidR="00040C46">
        <w:t xml:space="preserve">airborne particles behave </w:t>
      </w:r>
      <w:r w:rsidR="007E3665">
        <w:t xml:space="preserve">is needed </w:t>
      </w:r>
      <w:r w:rsidR="002D77D4">
        <w:t>t</w:t>
      </w:r>
      <w:r w:rsidR="00386423">
        <w:t xml:space="preserve">o </w:t>
      </w:r>
      <w:r>
        <w:t xml:space="preserve">control against their undesirable effects and to </w:t>
      </w:r>
      <w:r w:rsidR="00040C46">
        <w:t>harness their beneficial potential.</w:t>
      </w:r>
      <w:r w:rsidR="00BE6908">
        <w:t xml:space="preserve"> </w:t>
      </w:r>
      <w:r w:rsidR="00386423">
        <w:t>This course will explore the mechanics of aerosol</w:t>
      </w:r>
      <w:r w:rsidR="00040C46">
        <w:t xml:space="preserve"> behavior</w:t>
      </w:r>
      <w:r w:rsidR="00386423">
        <w:t xml:space="preserve">, including </w:t>
      </w:r>
      <w:r w:rsidR="00040C46">
        <w:t xml:space="preserve">their </w:t>
      </w:r>
      <w:r w:rsidR="00386423">
        <w:t xml:space="preserve">generation, </w:t>
      </w:r>
      <w:r w:rsidR="00040C46">
        <w:t>transformation, and fate in occupational and environmental settings.</w:t>
      </w:r>
      <w:r w:rsidR="00BE6908">
        <w:t xml:space="preserve"> </w:t>
      </w:r>
    </w:p>
    <w:p w14:paraId="424E06CA" w14:textId="77777777" w:rsidR="00040C46" w:rsidRDefault="00040C46"/>
    <w:p w14:paraId="4667541D" w14:textId="690306DA" w:rsidR="00780A25" w:rsidRDefault="009D1B43" w:rsidP="00780A25">
      <w:pPr>
        <w:rPr>
          <w:i/>
        </w:rPr>
      </w:pPr>
      <w:r>
        <w:t>The specific goals for this course are provided below.</w:t>
      </w:r>
      <w:r w:rsidR="00780A25" w:rsidRPr="00780A25">
        <w:t xml:space="preserve"> </w:t>
      </w:r>
      <w:r w:rsidR="00780A25">
        <w:t xml:space="preserve">Students should have passed a college-level physics course. </w:t>
      </w:r>
      <w:r w:rsidR="00F23A64" w:rsidRPr="00F23A64">
        <w:rPr>
          <w:i/>
        </w:rPr>
        <w:t>Don’t worry…we will wake up those brain cells.</w:t>
      </w:r>
    </w:p>
    <w:p w14:paraId="6E8A2780" w14:textId="77777777" w:rsidR="00B61C26" w:rsidRDefault="00B61C26" w:rsidP="00B61C26"/>
    <w:p w14:paraId="7D24241B" w14:textId="77777777" w:rsidR="00B61C26" w:rsidRDefault="00B61C26" w:rsidP="00B61C26">
      <w:r>
        <w:t xml:space="preserve">This course is offered through the Department of Occupational and Environmental Health (Department Executive Officer: Dr. Peter Thorne, S341A CPHB, 335-4216, </w:t>
      </w:r>
      <w:hyperlink r:id="rId9" w:history="1">
        <w:r w:rsidRPr="00F45005">
          <w:rPr>
            <w:rStyle w:val="Hyperlink"/>
          </w:rPr>
          <w:t>peter-thorne@uiowa.edu</w:t>
        </w:r>
      </w:hyperlink>
      <w:r>
        <w:t xml:space="preserve">). </w:t>
      </w:r>
    </w:p>
    <w:p w14:paraId="0512C97C" w14:textId="77777777" w:rsidR="00386423" w:rsidRDefault="00386423" w:rsidP="009D1B43"/>
    <w:p w14:paraId="3CC85192" w14:textId="42ED3C9C" w:rsidR="00386423" w:rsidRDefault="00386423">
      <w:pPr>
        <w:pStyle w:val="Heading2"/>
      </w:pPr>
      <w:r>
        <w:t>Reading</w:t>
      </w:r>
      <w:r w:rsidR="00780A25">
        <w:t>s</w:t>
      </w:r>
      <w:r w:rsidR="00F23A64">
        <w:t xml:space="preserve"> and Media</w:t>
      </w:r>
    </w:p>
    <w:p w14:paraId="6BEE185E" w14:textId="77777777" w:rsidR="00386423" w:rsidRDefault="00386423"/>
    <w:p w14:paraId="2829AF2F" w14:textId="77777777" w:rsidR="00386423" w:rsidRDefault="00386423">
      <w:r>
        <w:t xml:space="preserve">There is one required text for this course: Hinds, W.C. (1999) </w:t>
      </w:r>
      <w:r>
        <w:rPr>
          <w:u w:val="single"/>
        </w:rPr>
        <w:t>Aerosol Technology: Properties, Behavior, and Measurement of Airborne Particles</w:t>
      </w:r>
      <w:r>
        <w:t>, Second Edition, John Wiley and Sons, Inc.</w:t>
      </w:r>
    </w:p>
    <w:p w14:paraId="62325A3D" w14:textId="77777777" w:rsidR="00386423" w:rsidRDefault="00386423" w:rsidP="005454AB">
      <w:pPr>
        <w:spacing w:before="240"/>
      </w:pPr>
      <w:r>
        <w:t xml:space="preserve">Class notes and other useful information will be posted </w:t>
      </w:r>
      <w:r w:rsidR="005454AB">
        <w:t>on Iowa Courses Online (ICON).</w:t>
      </w:r>
      <w:r w:rsidR="00BE6908">
        <w:t xml:space="preserve"> </w:t>
      </w:r>
      <w:r>
        <w:t>Occasionally, articles will be referenced in class from the Journal of Aerosol Science and from Aerosol Science and Technology.</w:t>
      </w:r>
      <w:r w:rsidR="00BE6908">
        <w:t xml:space="preserve"> </w:t>
      </w:r>
    </w:p>
    <w:p w14:paraId="223B0431" w14:textId="5A318E1E" w:rsidR="00F23A64" w:rsidRDefault="00F23A64" w:rsidP="005454AB">
      <w:pPr>
        <w:spacing w:before="240"/>
      </w:pPr>
      <w:r>
        <w:t>Links to videos are provided on the class schedule.</w:t>
      </w:r>
    </w:p>
    <w:p w14:paraId="40BCD0E5" w14:textId="77777777" w:rsidR="00386423" w:rsidRDefault="00D66DDC">
      <w:pPr>
        <w:pStyle w:val="Heading2"/>
      </w:pPr>
      <w:r>
        <w:br w:type="page"/>
      </w:r>
      <w:r w:rsidR="00386423">
        <w:lastRenderedPageBreak/>
        <w:t>Course Requirements and Evaluation</w:t>
      </w:r>
    </w:p>
    <w:p w14:paraId="26A6A8E6" w14:textId="77777777" w:rsidR="00386423" w:rsidRDefault="00386423"/>
    <w:p w14:paraId="62AA52E0" w14:textId="77777777" w:rsidR="00780A25" w:rsidRDefault="00780A25" w:rsidP="00780A25">
      <w:pPr>
        <w:pStyle w:val="Heading3"/>
      </w:pPr>
      <w:r>
        <w:t>Grading</w:t>
      </w:r>
    </w:p>
    <w:p w14:paraId="3B3A349D" w14:textId="77777777" w:rsidR="00780A25" w:rsidRDefault="00780A25" w:rsidP="00780A25">
      <w:r>
        <w:t>Laboratory Reports</w:t>
      </w:r>
      <w:r>
        <w:tab/>
      </w:r>
      <w:r>
        <w:tab/>
      </w:r>
      <w:r>
        <w:tab/>
      </w:r>
      <w:r w:rsidR="000F7CB3">
        <w:t>20</w:t>
      </w:r>
      <w:r>
        <w:t>%</w:t>
      </w:r>
    </w:p>
    <w:p w14:paraId="430151B0" w14:textId="77777777" w:rsidR="00146A3C" w:rsidRDefault="00146A3C" w:rsidP="00780A25">
      <w:r>
        <w:t>Problem Sets</w:t>
      </w:r>
      <w:r>
        <w:tab/>
      </w:r>
      <w:r>
        <w:tab/>
      </w:r>
      <w:r>
        <w:tab/>
      </w:r>
      <w:r>
        <w:tab/>
        <w:t>10%</w:t>
      </w:r>
    </w:p>
    <w:p w14:paraId="24A7A0EF" w14:textId="77777777" w:rsidR="00780A25" w:rsidRDefault="00780A25" w:rsidP="00780A25">
      <w:r>
        <w:t>1</w:t>
      </w:r>
      <w:r w:rsidRPr="00780A25">
        <w:rPr>
          <w:vertAlign w:val="superscript"/>
        </w:rPr>
        <w:t>st</w:t>
      </w:r>
      <w:r>
        <w:t xml:space="preserve"> Exam</w:t>
      </w:r>
      <w:r>
        <w:tab/>
      </w:r>
      <w:r>
        <w:tab/>
      </w:r>
      <w:r>
        <w:tab/>
      </w:r>
      <w:r>
        <w:tab/>
        <w:t>20%</w:t>
      </w:r>
    </w:p>
    <w:p w14:paraId="4DD5BC0D" w14:textId="77777777" w:rsidR="00780A25" w:rsidRDefault="00780A25" w:rsidP="00780A25">
      <w:r>
        <w:t>2</w:t>
      </w:r>
      <w:r w:rsidRPr="00780A25">
        <w:rPr>
          <w:vertAlign w:val="superscript"/>
        </w:rPr>
        <w:t>nd</w:t>
      </w:r>
      <w:r>
        <w:t xml:space="preserve"> Exam</w:t>
      </w:r>
      <w:r>
        <w:tab/>
      </w:r>
      <w:r>
        <w:tab/>
      </w:r>
      <w:r>
        <w:tab/>
      </w:r>
      <w:r>
        <w:tab/>
        <w:t>20%</w:t>
      </w:r>
    </w:p>
    <w:p w14:paraId="1B9C26A7" w14:textId="77777777" w:rsidR="00780A25" w:rsidRDefault="00146A3C" w:rsidP="00780A25">
      <w:r>
        <w:t>In-class Final Exam</w:t>
      </w:r>
      <w:r>
        <w:tab/>
      </w:r>
      <w:r>
        <w:tab/>
      </w:r>
      <w:r>
        <w:tab/>
      </w:r>
      <w:r w:rsidR="00470B1B">
        <w:t>25</w:t>
      </w:r>
      <w:r w:rsidR="00780A25">
        <w:t>%</w:t>
      </w:r>
    </w:p>
    <w:p w14:paraId="508385AC" w14:textId="77777777" w:rsidR="00780A25" w:rsidRDefault="00780A25" w:rsidP="00780A25">
      <w:r>
        <w:t>Class Participation</w:t>
      </w:r>
      <w:r>
        <w:tab/>
      </w:r>
      <w:r>
        <w:tab/>
      </w:r>
      <w:r>
        <w:tab/>
        <w:t>5%</w:t>
      </w:r>
    </w:p>
    <w:p w14:paraId="60ABE961" w14:textId="77777777" w:rsidR="00D66DDC" w:rsidRDefault="00D66DDC" w:rsidP="0096044D"/>
    <w:p w14:paraId="3E251C88" w14:textId="6DAAB5E7" w:rsidR="0096044D" w:rsidRDefault="0079014C" w:rsidP="0096044D">
      <w:r>
        <w:t xml:space="preserve">I will use plus/minus grading. </w:t>
      </w:r>
      <w:r w:rsidR="0096044D">
        <w:t>Grades will be assigned according to the following:</w:t>
      </w:r>
    </w:p>
    <w:p w14:paraId="30C475A2" w14:textId="77777777" w:rsidR="0096044D" w:rsidRDefault="0096044D" w:rsidP="0096044D">
      <w:r>
        <w:t>A 90-100</w:t>
      </w:r>
    </w:p>
    <w:p w14:paraId="7BE194BA" w14:textId="77777777" w:rsidR="0096044D" w:rsidRDefault="0096044D" w:rsidP="0096044D">
      <w:r>
        <w:t>B 80-89</w:t>
      </w:r>
    </w:p>
    <w:p w14:paraId="18138B59" w14:textId="77777777" w:rsidR="0096044D" w:rsidRDefault="0096044D" w:rsidP="0096044D">
      <w:r>
        <w:t>C 70-79</w:t>
      </w:r>
    </w:p>
    <w:p w14:paraId="40D59ED6" w14:textId="77777777" w:rsidR="0096044D" w:rsidRDefault="0096044D" w:rsidP="0096044D">
      <w:r>
        <w:t>D 60-69</w:t>
      </w:r>
    </w:p>
    <w:p w14:paraId="5E3B58D9" w14:textId="77777777" w:rsidR="00780A25" w:rsidRDefault="0096044D" w:rsidP="0096044D">
      <w:r>
        <w:t>F &lt; 59</w:t>
      </w:r>
    </w:p>
    <w:p w14:paraId="25CC6642" w14:textId="77777777" w:rsidR="00780A25" w:rsidRDefault="00780A25"/>
    <w:p w14:paraId="2D7BBB42" w14:textId="77777777" w:rsidR="0055357F" w:rsidRPr="00780A25" w:rsidRDefault="0055357F" w:rsidP="0055357F">
      <w:pPr>
        <w:pStyle w:val="Heading3"/>
      </w:pPr>
      <w:r>
        <w:t>Attendance and Participation</w:t>
      </w:r>
    </w:p>
    <w:p w14:paraId="7ECB9F2D" w14:textId="59278A64" w:rsidR="0055357F" w:rsidRDefault="0055357F" w:rsidP="0055357F">
      <w:r>
        <w:t xml:space="preserve">I expect students to attend each class meeting, ready to participate </w:t>
      </w:r>
      <w:r w:rsidRPr="00646FF2">
        <w:rPr>
          <w:b/>
          <w:i/>
        </w:rPr>
        <w:t xml:space="preserve">promptly at or before </w:t>
      </w:r>
      <w:r w:rsidR="00131089">
        <w:rPr>
          <w:b/>
          <w:i/>
        </w:rPr>
        <w:t xml:space="preserve">11 </w:t>
      </w:r>
      <w:r w:rsidRPr="00646FF2">
        <w:rPr>
          <w:b/>
          <w:i/>
        </w:rPr>
        <w:t>AM</w:t>
      </w:r>
      <w:r>
        <w:t xml:space="preserve">. If you have a conflict and are unable to attend, please email me prior to your absence. </w:t>
      </w:r>
      <w:r w:rsidR="001A0396">
        <w:t xml:space="preserve">Each day, bring blank paper for taking notes and any printouts from ICON. Review assigned reading and work appropriate problems in the text to prepare yourself to engage in participation. </w:t>
      </w:r>
    </w:p>
    <w:p w14:paraId="64A67722" w14:textId="77777777" w:rsidR="0055357F" w:rsidRPr="0055357F" w:rsidRDefault="0055357F" w:rsidP="0055357F"/>
    <w:p w14:paraId="613541DE" w14:textId="77777777" w:rsidR="00780A25" w:rsidRPr="00780A25" w:rsidRDefault="00780A25" w:rsidP="00780A25">
      <w:pPr>
        <w:pStyle w:val="Heading3"/>
      </w:pPr>
      <w:r w:rsidRPr="00780A25">
        <w:t>Weekly Quizzes</w:t>
      </w:r>
    </w:p>
    <w:p w14:paraId="532CDEC7" w14:textId="77777777" w:rsidR="00B712C8" w:rsidRDefault="00D606D4" w:rsidP="00BA3AAF">
      <w:r>
        <w:t xml:space="preserve">A </w:t>
      </w:r>
      <w:r w:rsidR="00B712C8">
        <w:t>15-min</w:t>
      </w:r>
      <w:r>
        <w:t xml:space="preserve"> </w:t>
      </w:r>
      <w:r w:rsidR="00780A25">
        <w:t xml:space="preserve">quiz will be </w:t>
      </w:r>
      <w:r w:rsidR="00B712C8">
        <w:t xml:space="preserve">administered </w:t>
      </w:r>
      <w:r>
        <w:t xml:space="preserve">on-line (Quizzes Section on ICON) </w:t>
      </w:r>
      <w:r w:rsidR="00780A25">
        <w:t xml:space="preserve">approximately once per week </w:t>
      </w:r>
      <w:r w:rsidR="00BA3AAF">
        <w:t xml:space="preserve">to ensure that </w:t>
      </w:r>
      <w:r>
        <w:t>you</w:t>
      </w:r>
      <w:r w:rsidR="00BA3AAF">
        <w:t xml:space="preserve"> are keeping pace with the course material. </w:t>
      </w:r>
      <w:r w:rsidR="00B712C8">
        <w:t xml:space="preserve">The quiz will be made available on Thursday and due before class the following Tuesday. You will be allowed 2 attempts to complete the quiz. </w:t>
      </w:r>
      <w:r w:rsidR="00C27613">
        <w:t>I expect you to complete this quiz without help from others.</w:t>
      </w:r>
    </w:p>
    <w:p w14:paraId="7B6B5F2B" w14:textId="77777777" w:rsidR="00B712C8" w:rsidRDefault="00B712C8" w:rsidP="00BA3AAF"/>
    <w:p w14:paraId="612EDD85" w14:textId="02C72B85" w:rsidR="00780A25" w:rsidRDefault="00780A25" w:rsidP="00BA3AAF">
      <w:r>
        <w:t>The quiz may cover the material</w:t>
      </w:r>
      <w:r w:rsidR="005A36FB">
        <w:t>s</w:t>
      </w:r>
      <w:r>
        <w:t xml:space="preserve"> assigned for that particular day or a computational problem based on the previous week’s material. Each quiz will be worth 1-3 points of </w:t>
      </w:r>
      <w:r w:rsidRPr="00780A25">
        <w:rPr>
          <w:b/>
          <w:i/>
        </w:rPr>
        <w:t>EXTRA CREDIT</w:t>
      </w:r>
      <w:r>
        <w:t xml:space="preserve"> towards the next exam</w:t>
      </w:r>
      <w:r w:rsidR="00D606D4">
        <w:t>ination</w:t>
      </w:r>
      <w:r>
        <w:t>. A strong showing on quizzes can</w:t>
      </w:r>
      <w:r w:rsidR="005A36FB">
        <w:t xml:space="preserve"> advance a test score by one</w:t>
      </w:r>
      <w:r>
        <w:t xml:space="preserve"> grade level. </w:t>
      </w:r>
    </w:p>
    <w:p w14:paraId="5DF51C8B" w14:textId="77777777" w:rsidR="00780A25" w:rsidRDefault="00780A25" w:rsidP="00BA3AAF"/>
    <w:p w14:paraId="1F54E98C" w14:textId="77777777" w:rsidR="00780A25" w:rsidRDefault="00264DC8" w:rsidP="00780A25">
      <w:pPr>
        <w:pStyle w:val="Heading3"/>
      </w:pPr>
      <w:r>
        <w:t>Problem Sets</w:t>
      </w:r>
    </w:p>
    <w:p w14:paraId="17906CAA" w14:textId="77777777" w:rsidR="00EC760D" w:rsidRDefault="00FE275B" w:rsidP="00EC760D">
      <w:r w:rsidRPr="00FE275B">
        <w:rPr>
          <w:i/>
        </w:rPr>
        <w:t>The amount that you learn in this course will relate directly to your ability to work problem</w:t>
      </w:r>
      <w:r w:rsidR="00EC760D">
        <w:rPr>
          <w:i/>
        </w:rPr>
        <w:t>s</w:t>
      </w:r>
      <w:r w:rsidR="005C7478">
        <w:rPr>
          <w:i/>
        </w:rPr>
        <w:t xml:space="preserve"> </w:t>
      </w:r>
      <w:r w:rsidR="00BA3AAF">
        <w:rPr>
          <w:i/>
        </w:rPr>
        <w:t xml:space="preserve">related to course material and </w:t>
      </w:r>
      <w:r w:rsidR="005C7478">
        <w:rPr>
          <w:i/>
        </w:rPr>
        <w:t xml:space="preserve">to critically interpret your answers. </w:t>
      </w:r>
      <w:r w:rsidR="00EC760D">
        <w:rPr>
          <w:i/>
        </w:rPr>
        <w:t xml:space="preserve">The </w:t>
      </w:r>
      <w:r w:rsidR="00EC760D" w:rsidRPr="00FE275B">
        <w:rPr>
          <w:i/>
        </w:rPr>
        <w:t xml:space="preserve">midterm </w:t>
      </w:r>
      <w:r w:rsidR="00EC760D">
        <w:rPr>
          <w:i/>
        </w:rPr>
        <w:t xml:space="preserve">and </w:t>
      </w:r>
      <w:r w:rsidR="00EC760D" w:rsidRPr="00FE275B">
        <w:rPr>
          <w:i/>
        </w:rPr>
        <w:t>final exam</w:t>
      </w:r>
      <w:r w:rsidR="00BA3AAF">
        <w:rPr>
          <w:i/>
        </w:rPr>
        <w:t>inations</w:t>
      </w:r>
      <w:r w:rsidR="00EC760D">
        <w:rPr>
          <w:i/>
        </w:rPr>
        <w:t xml:space="preserve"> will be </w:t>
      </w:r>
      <w:r w:rsidR="00BA3AAF">
        <w:rPr>
          <w:i/>
        </w:rPr>
        <w:t xml:space="preserve">problem </w:t>
      </w:r>
      <w:r w:rsidR="00EC760D">
        <w:rPr>
          <w:i/>
        </w:rPr>
        <w:t xml:space="preserve">based </w:t>
      </w:r>
      <w:r w:rsidR="00BA3AAF">
        <w:rPr>
          <w:i/>
        </w:rPr>
        <w:t xml:space="preserve">with additional questions from </w:t>
      </w:r>
      <w:r w:rsidR="00EC760D">
        <w:rPr>
          <w:i/>
        </w:rPr>
        <w:t>assigned readings</w:t>
      </w:r>
      <w:r w:rsidR="00EC760D" w:rsidRPr="00FE275B">
        <w:rPr>
          <w:i/>
        </w:rPr>
        <w:t>.</w:t>
      </w:r>
    </w:p>
    <w:p w14:paraId="1AA57034" w14:textId="77777777" w:rsidR="00264DC8" w:rsidRDefault="00264DC8"/>
    <w:p w14:paraId="57CE4871" w14:textId="3CDCCDD7" w:rsidR="00264DC8" w:rsidRDefault="00264DC8" w:rsidP="00264DC8">
      <w:r>
        <w:t xml:space="preserve">I will assign </w:t>
      </w:r>
      <w:r w:rsidR="001A7B70">
        <w:t>five</w:t>
      </w:r>
      <w:r>
        <w:t xml:space="preserve"> problem sets throughout the semester that you </w:t>
      </w:r>
      <w:r w:rsidR="00CB73CA">
        <w:t xml:space="preserve">will </w:t>
      </w:r>
      <w:r>
        <w:t xml:space="preserve">turn in on the ICON </w:t>
      </w:r>
      <w:proofErr w:type="spellStart"/>
      <w:r>
        <w:t>dropbox</w:t>
      </w:r>
      <w:proofErr w:type="spellEnd"/>
      <w:r>
        <w:t xml:space="preserve">. I will not grade what you turn in but rather scan through to ensure that you have made the effort to work the problems. You can work these problems by yourself, with your classmates, or with students who took the course a previous year. If you are having difficulties with these problems, please feel free to discuss them with me. </w:t>
      </w:r>
    </w:p>
    <w:p w14:paraId="7DD1798F" w14:textId="77777777" w:rsidR="005D09BB" w:rsidRDefault="005D09BB" w:rsidP="00264DC8"/>
    <w:p w14:paraId="1FBDF0D1" w14:textId="232A2423" w:rsidR="00FF35A2" w:rsidRDefault="00B17EDB">
      <w:r w:rsidRPr="00B17EDB">
        <w:t xml:space="preserve">Submit </w:t>
      </w:r>
      <w:r>
        <w:t xml:space="preserve">problem sets </w:t>
      </w:r>
      <w:r w:rsidRPr="00B17EDB">
        <w:t xml:space="preserve">by </w:t>
      </w:r>
      <w:r>
        <w:t xml:space="preserve">midnight </w:t>
      </w:r>
      <w:r w:rsidRPr="00B17EDB">
        <w:t xml:space="preserve">of the due date into drop box on ICON. I will deduct 10% per day if late.  </w:t>
      </w:r>
    </w:p>
    <w:p w14:paraId="54CC4CA1" w14:textId="77777777" w:rsidR="00EC760D" w:rsidRDefault="00EC760D"/>
    <w:p w14:paraId="3CA49A00" w14:textId="77777777" w:rsidR="00E65DA4" w:rsidRDefault="00E65DA4" w:rsidP="00E65DA4">
      <w:pPr>
        <w:pStyle w:val="Heading3"/>
      </w:pPr>
      <w:r>
        <w:t>Laboratories</w:t>
      </w:r>
    </w:p>
    <w:p w14:paraId="1C7B9EA7" w14:textId="77777777" w:rsidR="00C740DE" w:rsidRDefault="002756B0">
      <w:r>
        <w:t>Three lab</w:t>
      </w:r>
      <w:r w:rsidR="00C27DCC">
        <w:t xml:space="preserve">oratory </w:t>
      </w:r>
      <w:r>
        <w:t>sessions will be conducted in addition to the class lectures.</w:t>
      </w:r>
      <w:r w:rsidR="00BE6908">
        <w:t xml:space="preserve"> </w:t>
      </w:r>
      <w:r>
        <w:t>S</w:t>
      </w:r>
      <w:r w:rsidR="00386423">
        <w:t>tudents are encouraged to work together on the lab</w:t>
      </w:r>
      <w:r w:rsidR="00B712C8">
        <w:t>oratory</w:t>
      </w:r>
      <w:r w:rsidR="00386423">
        <w:t xml:space="preserve"> assignment</w:t>
      </w:r>
      <w:r>
        <w:t>s</w:t>
      </w:r>
      <w:r w:rsidR="00B712C8">
        <w:t>. H</w:t>
      </w:r>
      <w:r w:rsidR="00386423">
        <w:t xml:space="preserve">owever, each student </w:t>
      </w:r>
      <w:r>
        <w:t xml:space="preserve">must </w:t>
      </w:r>
      <w:r w:rsidR="00386423">
        <w:t>submit their own final report</w:t>
      </w:r>
      <w:r w:rsidR="00DF068B">
        <w:t>.</w:t>
      </w:r>
      <w:r w:rsidR="00BE6908">
        <w:t xml:space="preserve"> </w:t>
      </w:r>
      <w:r w:rsidR="00A00A98">
        <w:t xml:space="preserve">Be sure your name </w:t>
      </w:r>
      <w:r w:rsidR="00C740DE">
        <w:t xml:space="preserve">appears </w:t>
      </w:r>
      <w:r w:rsidR="00A00A98">
        <w:t>on the first page of the r</w:t>
      </w:r>
      <w:r w:rsidR="00C740DE">
        <w:t>eport. The report should:</w:t>
      </w:r>
    </w:p>
    <w:p w14:paraId="34A9060D" w14:textId="5B13E54C" w:rsidR="00C740DE" w:rsidRDefault="00C740DE" w:rsidP="00C740DE">
      <w:pPr>
        <w:pStyle w:val="ListParagraph"/>
        <w:numPr>
          <w:ilvl w:val="0"/>
          <w:numId w:val="5"/>
        </w:numPr>
      </w:pPr>
      <w:r>
        <w:t>D</w:t>
      </w:r>
      <w:r w:rsidR="00A00A98">
        <w:t xml:space="preserve">escribe very briefly what you did (refer to the laboratory instructions for the introduction and methods section unless you did something different or had troubles – don’t forget to include some reference to what instrument you used like the model, vendor, and serial number). </w:t>
      </w:r>
    </w:p>
    <w:p w14:paraId="56F4F647" w14:textId="77777777" w:rsidR="00C740DE" w:rsidRDefault="00C740DE" w:rsidP="00C740DE">
      <w:pPr>
        <w:pStyle w:val="ListParagraph"/>
        <w:numPr>
          <w:ilvl w:val="0"/>
          <w:numId w:val="5"/>
        </w:numPr>
      </w:pPr>
      <w:r>
        <w:t>F</w:t>
      </w:r>
      <w:r w:rsidR="00A00A98">
        <w:t xml:space="preserve">ocus on results and discussion. I want to see nice looking figures and tables and clear paragraphs with thoughtful discussion (not long) of these graphical elements. </w:t>
      </w:r>
    </w:p>
    <w:p w14:paraId="3A794F4F" w14:textId="77777777" w:rsidR="00C740DE" w:rsidRDefault="00C740DE" w:rsidP="00C740DE">
      <w:pPr>
        <w:pStyle w:val="ListParagraph"/>
        <w:numPr>
          <w:ilvl w:val="0"/>
          <w:numId w:val="5"/>
        </w:numPr>
      </w:pPr>
      <w:r>
        <w:t xml:space="preserve">A brief discussion to relate </w:t>
      </w:r>
      <w:r w:rsidR="00A00A98">
        <w:t xml:space="preserve">what you learned in the laboratory to lecture material. </w:t>
      </w:r>
    </w:p>
    <w:p w14:paraId="11B4BFDB" w14:textId="5A04CB64" w:rsidR="00A00A98" w:rsidRDefault="00C740DE" w:rsidP="00C740DE">
      <w:pPr>
        <w:pStyle w:val="ListParagraph"/>
        <w:numPr>
          <w:ilvl w:val="0"/>
          <w:numId w:val="5"/>
        </w:numPr>
      </w:pPr>
      <w:r>
        <w:t xml:space="preserve">Any </w:t>
      </w:r>
      <w:r w:rsidR="00A00A98">
        <w:t xml:space="preserve">specific criteria </w:t>
      </w:r>
      <w:r>
        <w:t>as requested in the assignment.</w:t>
      </w:r>
    </w:p>
    <w:p w14:paraId="5E30DD78" w14:textId="77777777" w:rsidR="0096044D" w:rsidRDefault="0096044D" w:rsidP="0096044D"/>
    <w:p w14:paraId="13AD252E" w14:textId="06BC01D9" w:rsidR="0096044D" w:rsidRDefault="0096044D" w:rsidP="0096044D">
      <w:r>
        <w:t xml:space="preserve">Submit laboratory reports by </w:t>
      </w:r>
      <w:r w:rsidR="00B17EDB">
        <w:t>midnight</w:t>
      </w:r>
      <w:r>
        <w:t xml:space="preserve"> of the due date into drop box on ICON. I will deduct 10% per day late.  </w:t>
      </w:r>
    </w:p>
    <w:p w14:paraId="5A181C56" w14:textId="77777777" w:rsidR="00256632" w:rsidRDefault="00256632" w:rsidP="0096044D"/>
    <w:p w14:paraId="6A03F538" w14:textId="15ECA631" w:rsidR="00256632" w:rsidRDefault="00256632" w:rsidP="00256632">
      <w:r>
        <w:t xml:space="preserve">I encourage you to take advantage of the Writing Center on campus. See </w:t>
      </w:r>
      <w:hyperlink r:id="rId10" w:history="1">
        <w:r w:rsidRPr="00BA6665">
          <w:rPr>
            <w:rStyle w:val="Hyperlink"/>
          </w:rPr>
          <w:t>http://writingcenter.uiowa.edu/</w:t>
        </w:r>
      </w:hyperlink>
      <w:r>
        <w:t>. Although not an editorial service, they offer a free help to students with learning how to write. They will review samples of your writing to help you learn. You can get feedback online or in person. There is some lead time to get help so check it out soon.</w:t>
      </w:r>
    </w:p>
    <w:p w14:paraId="74780E5B" w14:textId="77777777" w:rsidR="00386423" w:rsidRDefault="00386423"/>
    <w:p w14:paraId="3CCB9F30" w14:textId="77777777" w:rsidR="00E65DA4" w:rsidRDefault="0096044D" w:rsidP="0096044D">
      <w:pPr>
        <w:pStyle w:val="Heading3"/>
      </w:pPr>
      <w:r>
        <w:t>Examinations</w:t>
      </w:r>
    </w:p>
    <w:p w14:paraId="6AA6BE17" w14:textId="011A0FAE" w:rsidR="00386423" w:rsidRDefault="00386423" w:rsidP="0096044D">
      <w:r>
        <w:t xml:space="preserve">The midterm </w:t>
      </w:r>
      <w:r w:rsidR="008A19C7">
        <w:t>exam</w:t>
      </w:r>
      <w:r w:rsidR="00C27DCC">
        <w:t>inations</w:t>
      </w:r>
      <w:r w:rsidR="008A19C7">
        <w:t xml:space="preserve"> </w:t>
      </w:r>
      <w:r w:rsidR="004473B4">
        <w:t>will be taken during the normal class time</w:t>
      </w:r>
      <w:r w:rsidR="00E65DA4">
        <w:t xml:space="preserve">. The </w:t>
      </w:r>
      <w:r>
        <w:t>final exam</w:t>
      </w:r>
      <w:r w:rsidR="00B712C8">
        <w:t>ination</w:t>
      </w:r>
      <w:r w:rsidR="008844FA">
        <w:t xml:space="preserve"> will be two</w:t>
      </w:r>
      <w:r>
        <w:t xml:space="preserve"> hours in length</w:t>
      </w:r>
      <w:r w:rsidR="0096044D">
        <w:t xml:space="preserve"> and will be given during exam</w:t>
      </w:r>
      <w:r w:rsidR="00B712C8">
        <w:t>ination</w:t>
      </w:r>
      <w:r w:rsidR="0096044D">
        <w:t xml:space="preserve"> week</w:t>
      </w:r>
      <w:r>
        <w:t>.</w:t>
      </w:r>
      <w:r w:rsidR="00BE6908">
        <w:t xml:space="preserve"> </w:t>
      </w:r>
      <w:r w:rsidR="00B712C8">
        <w:t>Examinations</w:t>
      </w:r>
      <w:r>
        <w:t xml:space="preserve"> </w:t>
      </w:r>
      <w:r w:rsidR="00C27DCC">
        <w:t xml:space="preserve">will be </w:t>
      </w:r>
      <w:r>
        <w:t>closed book and closed notes</w:t>
      </w:r>
      <w:r w:rsidR="00C27DCC">
        <w:t>, unless otherwise specified</w:t>
      </w:r>
      <w:r>
        <w:t>.</w:t>
      </w:r>
      <w:r w:rsidR="00BE6908">
        <w:t xml:space="preserve"> </w:t>
      </w:r>
      <w:r>
        <w:t xml:space="preserve">Because the focus of the </w:t>
      </w:r>
      <w:r w:rsidR="00C27DCC">
        <w:t>course</w:t>
      </w:r>
      <w:r>
        <w:t xml:space="preserve"> is on analytical problem solving skills rather than simple recall, each student will be allowed to bring a single, standard, 8</w:t>
      </w:r>
      <w:r w:rsidR="00BE6908">
        <w:t>.5</w:t>
      </w:r>
      <w:r>
        <w:t xml:space="preserve"> inch x 11 inch sheet of paper with notes in to the </w:t>
      </w:r>
      <w:r w:rsidR="00C27DCC">
        <w:t>examination</w:t>
      </w:r>
      <w:r>
        <w:t>.</w:t>
      </w:r>
      <w:r w:rsidR="00BE6908">
        <w:t xml:space="preserve"> </w:t>
      </w:r>
    </w:p>
    <w:p w14:paraId="6A829DCC" w14:textId="77777777" w:rsidR="004F1D7E" w:rsidRDefault="004F1D7E" w:rsidP="0096044D"/>
    <w:p w14:paraId="5C7D3D84" w14:textId="4BADC6AC" w:rsidR="004F1D7E" w:rsidRDefault="004F1D7E" w:rsidP="005D09BB">
      <w:pPr>
        <w:pStyle w:val="Heading3"/>
      </w:pPr>
      <w:r>
        <w:t>Electronic Gadgets</w:t>
      </w:r>
    </w:p>
    <w:p w14:paraId="2FEC81D6" w14:textId="34D5B85B" w:rsidR="004F1D7E" w:rsidRDefault="004F1D7E" w:rsidP="004F1D7E">
      <w:r>
        <w:t xml:space="preserve">Cell phones are expected to be turned off and stowed away. Laptop use </w:t>
      </w:r>
      <w:proofErr w:type="gramStart"/>
      <w:r>
        <w:t xml:space="preserve">is </w:t>
      </w:r>
      <w:r w:rsidR="004B2EF5">
        <w:t>allowed</w:t>
      </w:r>
      <w:proofErr w:type="gramEnd"/>
      <w:r>
        <w:t xml:space="preserve"> but must be used only for taking notes or viewing course material. You will be allowed to use a standard calculator during examinations. You will not be able to use a calculator app on your phone or a laptop during examinations. I reserve the right to ask you to stow gadgets that are deemed distractive.</w:t>
      </w:r>
    </w:p>
    <w:p w14:paraId="463F1471" w14:textId="26E9E0DC" w:rsidR="00B17EDB" w:rsidRDefault="00B17EDB">
      <w:pPr>
        <w:rPr>
          <w:b/>
        </w:rPr>
      </w:pPr>
    </w:p>
    <w:p w14:paraId="77A6953C" w14:textId="665AD8E1" w:rsidR="00F92600" w:rsidRDefault="00F92600" w:rsidP="00F92600">
      <w:pPr>
        <w:jc w:val="center"/>
        <w:rPr>
          <w:b/>
        </w:rPr>
      </w:pPr>
      <w:r w:rsidRPr="00FA13DE">
        <w:rPr>
          <w:b/>
        </w:rPr>
        <w:t>I</w:t>
      </w:r>
      <w:r w:rsidR="00045E2E">
        <w:rPr>
          <w:b/>
        </w:rPr>
        <w:t xml:space="preserve">ndustrial </w:t>
      </w:r>
      <w:r w:rsidRPr="00FA13DE">
        <w:rPr>
          <w:b/>
        </w:rPr>
        <w:t>H</w:t>
      </w:r>
      <w:r w:rsidR="00045E2E">
        <w:rPr>
          <w:b/>
        </w:rPr>
        <w:t>ygiene</w:t>
      </w:r>
      <w:r w:rsidRPr="00FA13DE">
        <w:rPr>
          <w:b/>
        </w:rPr>
        <w:t xml:space="preserve"> Program Student Outcomes </w:t>
      </w:r>
    </w:p>
    <w:p w14:paraId="4CB80F30" w14:textId="77777777" w:rsidR="00F92600" w:rsidRPr="00FA13DE" w:rsidRDefault="00F92600" w:rsidP="00F92600">
      <w:pPr>
        <w:jc w:val="center"/>
        <w:rPr>
          <w:b/>
        </w:rPr>
      </w:pPr>
      <w:r w:rsidRPr="00FA13DE">
        <w:rPr>
          <w:b/>
        </w:rPr>
        <w:t>(called student outcomes by ABET and competencies by CEPH)</w:t>
      </w:r>
    </w:p>
    <w:p w14:paraId="4C2B8FF6" w14:textId="77777777" w:rsidR="00F92600" w:rsidRDefault="00F92600" w:rsidP="00F92600"/>
    <w:p w14:paraId="3E3E9CF2" w14:textId="77777777" w:rsidR="00F92600" w:rsidRPr="001A0396" w:rsidRDefault="00F92600" w:rsidP="00F92600">
      <w:pPr>
        <w:rPr>
          <w:sz w:val="22"/>
        </w:rPr>
      </w:pPr>
      <w:r w:rsidRPr="001A0396">
        <w:rPr>
          <w:sz w:val="22"/>
        </w:rPr>
        <w:t>At the time of graduation, we expect our students to:</w:t>
      </w:r>
    </w:p>
    <w:p w14:paraId="0317BBD2" w14:textId="77777777" w:rsidR="00F92600" w:rsidRPr="001A0396" w:rsidRDefault="00F92600" w:rsidP="00F92600">
      <w:pPr>
        <w:numPr>
          <w:ilvl w:val="0"/>
          <w:numId w:val="4"/>
        </w:numPr>
        <w:spacing w:after="120"/>
        <w:rPr>
          <w:sz w:val="22"/>
        </w:rPr>
      </w:pPr>
      <w:r w:rsidRPr="001A0396">
        <w:rPr>
          <w:sz w:val="22"/>
        </w:rPr>
        <w:t>Anticipate and recognize the processes that influence the magnitude and routes of exposure to occupational and environmental agents, factors, and/or stressors of chemical, physical, biological and ergonomic origin that pose potential for adverse health effects</w:t>
      </w:r>
    </w:p>
    <w:p w14:paraId="408D1AD7" w14:textId="77777777" w:rsidR="00F92600" w:rsidRPr="001A0396" w:rsidRDefault="00F92600" w:rsidP="00F92600">
      <w:pPr>
        <w:numPr>
          <w:ilvl w:val="0"/>
          <w:numId w:val="4"/>
        </w:numPr>
        <w:spacing w:after="120"/>
        <w:rPr>
          <w:sz w:val="22"/>
        </w:rPr>
      </w:pPr>
      <w:r w:rsidRPr="001A0396">
        <w:rPr>
          <w:sz w:val="22"/>
        </w:rPr>
        <w:t>Apply the highest scientific principles, instrumentation, and techniques to adequately evaluate exposures to these agents, factors, or stressors</w:t>
      </w:r>
    </w:p>
    <w:p w14:paraId="004B82C1" w14:textId="77777777" w:rsidR="00F92600" w:rsidRPr="001A0396" w:rsidRDefault="00F92600" w:rsidP="00F92600">
      <w:pPr>
        <w:numPr>
          <w:ilvl w:val="0"/>
          <w:numId w:val="4"/>
        </w:numPr>
        <w:spacing w:after="120"/>
        <w:rPr>
          <w:sz w:val="22"/>
        </w:rPr>
      </w:pPr>
      <w:r w:rsidRPr="001A0396">
        <w:rPr>
          <w:sz w:val="22"/>
        </w:rPr>
        <w:t>Apply sound toxicological and epidemiological principles to anticipate adverse health outcomes that may be associated with these exposures</w:t>
      </w:r>
    </w:p>
    <w:p w14:paraId="6BE3C5A8" w14:textId="77777777" w:rsidR="00F92600" w:rsidRPr="001A0396" w:rsidRDefault="00F92600" w:rsidP="00F92600">
      <w:pPr>
        <w:numPr>
          <w:ilvl w:val="0"/>
          <w:numId w:val="4"/>
        </w:numPr>
        <w:spacing w:after="120"/>
        <w:rPr>
          <w:sz w:val="22"/>
        </w:rPr>
      </w:pPr>
      <w:r w:rsidRPr="001A0396">
        <w:rPr>
          <w:sz w:val="22"/>
        </w:rPr>
        <w:t>Apply sound scientific principles in the design and conduct of industrial hygiene investigations</w:t>
      </w:r>
    </w:p>
    <w:p w14:paraId="1C22A9EF" w14:textId="77777777" w:rsidR="00F92600" w:rsidRPr="001A0396" w:rsidRDefault="00F92600" w:rsidP="00F92600">
      <w:pPr>
        <w:numPr>
          <w:ilvl w:val="0"/>
          <w:numId w:val="4"/>
        </w:numPr>
        <w:spacing w:after="120"/>
        <w:rPr>
          <w:sz w:val="22"/>
        </w:rPr>
      </w:pPr>
      <w:r w:rsidRPr="001A0396">
        <w:rPr>
          <w:sz w:val="22"/>
        </w:rPr>
        <w:t xml:space="preserve">Organize and interpret exposure data using qualitative and quantitative methods in the context of physiological, epidemiological, and toxicological data to synthesize an appropriate response. </w:t>
      </w:r>
    </w:p>
    <w:p w14:paraId="78DDE6E6" w14:textId="77777777" w:rsidR="00F92600" w:rsidRPr="001A0396" w:rsidRDefault="00F92600" w:rsidP="00F92600">
      <w:pPr>
        <w:numPr>
          <w:ilvl w:val="0"/>
          <w:numId w:val="4"/>
        </w:numPr>
        <w:spacing w:after="120"/>
        <w:rPr>
          <w:sz w:val="22"/>
        </w:rPr>
      </w:pPr>
      <w:r w:rsidRPr="001A0396">
        <w:rPr>
          <w:sz w:val="22"/>
        </w:rPr>
        <w:t>Recommend and evaluate controls to reduce or eliminate these exposures, conforming to traditional hierarchy considerations.</w:t>
      </w:r>
    </w:p>
    <w:p w14:paraId="73F004C8" w14:textId="77777777" w:rsidR="00F92600" w:rsidRPr="001A0396" w:rsidRDefault="00F92600" w:rsidP="00F92600">
      <w:pPr>
        <w:numPr>
          <w:ilvl w:val="0"/>
          <w:numId w:val="4"/>
        </w:numPr>
        <w:spacing w:after="120"/>
        <w:rPr>
          <w:sz w:val="22"/>
        </w:rPr>
      </w:pPr>
      <w:r w:rsidRPr="001A0396">
        <w:rPr>
          <w:sz w:val="22"/>
        </w:rPr>
        <w:t>Understand applicable business and managerial practices with emphasis on program and project management</w:t>
      </w:r>
    </w:p>
    <w:p w14:paraId="59F456FA" w14:textId="77777777" w:rsidR="00F92600" w:rsidRPr="001A0396" w:rsidRDefault="00F92600" w:rsidP="00F92600">
      <w:pPr>
        <w:numPr>
          <w:ilvl w:val="0"/>
          <w:numId w:val="4"/>
        </w:numPr>
        <w:spacing w:after="120"/>
        <w:rPr>
          <w:sz w:val="22"/>
        </w:rPr>
      </w:pPr>
      <w:r w:rsidRPr="001A0396">
        <w:rPr>
          <w:sz w:val="22"/>
        </w:rPr>
        <w:t>Communicate effectively and appropriately to advocate for continuous improvement in worker health and safety to pertinent audiences, including workforce, management, the public, and professional peers</w:t>
      </w:r>
    </w:p>
    <w:p w14:paraId="0DB9AB6F" w14:textId="77777777" w:rsidR="00F92600" w:rsidRPr="001A0396" w:rsidRDefault="00F92600" w:rsidP="00F92600">
      <w:pPr>
        <w:numPr>
          <w:ilvl w:val="0"/>
          <w:numId w:val="4"/>
        </w:numPr>
        <w:spacing w:after="120"/>
        <w:rPr>
          <w:sz w:val="22"/>
        </w:rPr>
      </w:pPr>
      <w:r w:rsidRPr="001A0396">
        <w:rPr>
          <w:sz w:val="22"/>
        </w:rPr>
        <w:t>Interpret and apply applicable and emerging regulations, consensus standards, and best practices affecting occupational and environmental health</w:t>
      </w:r>
    </w:p>
    <w:p w14:paraId="26F28968" w14:textId="77777777" w:rsidR="00F92600" w:rsidRPr="001A0396" w:rsidRDefault="00F92600" w:rsidP="00F92600">
      <w:pPr>
        <w:numPr>
          <w:ilvl w:val="0"/>
          <w:numId w:val="4"/>
        </w:numPr>
        <w:spacing w:after="120"/>
        <w:rPr>
          <w:sz w:val="22"/>
        </w:rPr>
      </w:pPr>
      <w:r w:rsidRPr="001A0396">
        <w:rPr>
          <w:sz w:val="22"/>
        </w:rPr>
        <w:t>Demonstrate an understanding of the professional code of ethics</w:t>
      </w:r>
    </w:p>
    <w:p w14:paraId="418E2A95" w14:textId="77777777" w:rsidR="00F92600" w:rsidRDefault="00F92600" w:rsidP="00F92600">
      <w:pPr>
        <w:numPr>
          <w:ilvl w:val="0"/>
          <w:numId w:val="4"/>
        </w:numPr>
        <w:spacing w:after="120"/>
        <w:rPr>
          <w:sz w:val="22"/>
        </w:rPr>
      </w:pPr>
      <w:r w:rsidRPr="001A0396">
        <w:rPr>
          <w:sz w:val="22"/>
        </w:rPr>
        <w:t>Understand the value and path to attain professional certification in industrial hygiene and allied fields</w:t>
      </w:r>
    </w:p>
    <w:p w14:paraId="06045AC4" w14:textId="77777777" w:rsidR="00F92600" w:rsidRDefault="00F92600" w:rsidP="00F92600">
      <w:r>
        <w:t>Specific goals for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527"/>
        <w:gridCol w:w="528"/>
        <w:gridCol w:w="528"/>
        <w:gridCol w:w="528"/>
        <w:gridCol w:w="528"/>
        <w:gridCol w:w="528"/>
        <w:gridCol w:w="528"/>
        <w:gridCol w:w="528"/>
        <w:gridCol w:w="528"/>
        <w:gridCol w:w="549"/>
        <w:gridCol w:w="549"/>
      </w:tblGrid>
      <w:tr w:rsidR="00F92600" w:rsidRPr="00517ECE" w14:paraId="2FC88236" w14:textId="77777777" w:rsidTr="005119FE">
        <w:tc>
          <w:tcPr>
            <w:tcW w:w="3888" w:type="dxa"/>
            <w:vMerge w:val="restart"/>
            <w:shd w:val="clear" w:color="auto" w:fill="auto"/>
          </w:tcPr>
          <w:p w14:paraId="701AD35D" w14:textId="77777777" w:rsidR="00F92600" w:rsidRPr="005119FE" w:rsidRDefault="00F92600" w:rsidP="005119FE">
            <w:pPr>
              <w:jc w:val="center"/>
              <w:rPr>
                <w:rFonts w:eastAsia="Calibri"/>
                <w:b/>
                <w:sz w:val="22"/>
                <w:szCs w:val="22"/>
              </w:rPr>
            </w:pPr>
            <w:r w:rsidRPr="005119FE">
              <w:rPr>
                <w:rFonts w:eastAsia="Calibri"/>
                <w:b/>
                <w:sz w:val="22"/>
                <w:szCs w:val="22"/>
              </w:rPr>
              <w:t>Specific Outcomes of Instruction</w:t>
            </w:r>
          </w:p>
        </w:tc>
        <w:tc>
          <w:tcPr>
            <w:tcW w:w="6336" w:type="dxa"/>
            <w:gridSpan w:val="11"/>
            <w:shd w:val="clear" w:color="auto" w:fill="auto"/>
            <w:vAlign w:val="center"/>
          </w:tcPr>
          <w:p w14:paraId="502B7F89" w14:textId="77777777" w:rsidR="00F92600" w:rsidRPr="005119FE" w:rsidRDefault="00F92600" w:rsidP="005119FE">
            <w:pPr>
              <w:jc w:val="center"/>
              <w:rPr>
                <w:rFonts w:eastAsia="Calibri"/>
                <w:b/>
                <w:sz w:val="22"/>
                <w:szCs w:val="22"/>
              </w:rPr>
            </w:pPr>
            <w:r w:rsidRPr="005119FE">
              <w:rPr>
                <w:rFonts w:eastAsia="Calibri"/>
                <w:b/>
                <w:sz w:val="22"/>
                <w:szCs w:val="22"/>
              </w:rPr>
              <w:t>UI-Defined Student Outcomes</w:t>
            </w:r>
          </w:p>
        </w:tc>
      </w:tr>
      <w:tr w:rsidR="00F92600" w:rsidRPr="00517ECE" w14:paraId="17EABFE1" w14:textId="77777777" w:rsidTr="005119FE">
        <w:tc>
          <w:tcPr>
            <w:tcW w:w="3888" w:type="dxa"/>
            <w:vMerge/>
            <w:shd w:val="clear" w:color="auto" w:fill="auto"/>
          </w:tcPr>
          <w:p w14:paraId="3A382A7C" w14:textId="77777777" w:rsidR="00F92600" w:rsidRPr="005119FE" w:rsidRDefault="00F92600" w:rsidP="005119FE">
            <w:pPr>
              <w:jc w:val="center"/>
              <w:rPr>
                <w:rFonts w:eastAsia="Calibri"/>
                <w:b/>
                <w:sz w:val="22"/>
                <w:szCs w:val="22"/>
              </w:rPr>
            </w:pPr>
          </w:p>
        </w:tc>
        <w:tc>
          <w:tcPr>
            <w:tcW w:w="576" w:type="dxa"/>
            <w:shd w:val="clear" w:color="auto" w:fill="auto"/>
            <w:vAlign w:val="center"/>
          </w:tcPr>
          <w:p w14:paraId="17C29ADC" w14:textId="77777777" w:rsidR="00F92600" w:rsidRPr="005119FE" w:rsidRDefault="00F92600" w:rsidP="005119FE">
            <w:pPr>
              <w:jc w:val="center"/>
              <w:rPr>
                <w:rFonts w:eastAsia="Calibri"/>
                <w:b/>
                <w:sz w:val="22"/>
                <w:szCs w:val="22"/>
              </w:rPr>
            </w:pPr>
            <w:r w:rsidRPr="005119FE">
              <w:rPr>
                <w:rFonts w:eastAsia="Calibri"/>
                <w:b/>
                <w:sz w:val="22"/>
                <w:szCs w:val="22"/>
              </w:rPr>
              <w:t>1</w:t>
            </w:r>
          </w:p>
        </w:tc>
        <w:tc>
          <w:tcPr>
            <w:tcW w:w="576" w:type="dxa"/>
            <w:shd w:val="clear" w:color="auto" w:fill="auto"/>
            <w:vAlign w:val="center"/>
          </w:tcPr>
          <w:p w14:paraId="1FBBAC29" w14:textId="77777777" w:rsidR="00F92600" w:rsidRPr="005119FE" w:rsidRDefault="00F92600" w:rsidP="005119FE">
            <w:pPr>
              <w:jc w:val="center"/>
              <w:rPr>
                <w:rFonts w:eastAsia="Calibri"/>
                <w:b/>
                <w:sz w:val="22"/>
                <w:szCs w:val="22"/>
              </w:rPr>
            </w:pPr>
            <w:r w:rsidRPr="005119FE">
              <w:rPr>
                <w:rFonts w:eastAsia="Calibri"/>
                <w:b/>
                <w:sz w:val="22"/>
                <w:szCs w:val="22"/>
              </w:rPr>
              <w:t>2</w:t>
            </w:r>
          </w:p>
        </w:tc>
        <w:tc>
          <w:tcPr>
            <w:tcW w:w="576" w:type="dxa"/>
            <w:shd w:val="clear" w:color="auto" w:fill="auto"/>
            <w:vAlign w:val="center"/>
          </w:tcPr>
          <w:p w14:paraId="7DC86A3F" w14:textId="77777777" w:rsidR="00F92600" w:rsidRPr="005119FE" w:rsidRDefault="00F92600" w:rsidP="005119FE">
            <w:pPr>
              <w:jc w:val="center"/>
              <w:rPr>
                <w:rFonts w:eastAsia="Calibri"/>
                <w:b/>
                <w:sz w:val="22"/>
                <w:szCs w:val="22"/>
              </w:rPr>
            </w:pPr>
            <w:r w:rsidRPr="005119FE">
              <w:rPr>
                <w:rFonts w:eastAsia="Calibri"/>
                <w:b/>
                <w:sz w:val="22"/>
                <w:szCs w:val="22"/>
              </w:rPr>
              <w:t>3</w:t>
            </w:r>
          </w:p>
        </w:tc>
        <w:tc>
          <w:tcPr>
            <w:tcW w:w="576" w:type="dxa"/>
            <w:shd w:val="clear" w:color="auto" w:fill="auto"/>
            <w:vAlign w:val="center"/>
          </w:tcPr>
          <w:p w14:paraId="0CA0EC6D" w14:textId="77777777" w:rsidR="00F92600" w:rsidRPr="005119FE" w:rsidRDefault="00F92600" w:rsidP="005119FE">
            <w:pPr>
              <w:jc w:val="center"/>
              <w:rPr>
                <w:rFonts w:eastAsia="Calibri"/>
                <w:b/>
                <w:sz w:val="22"/>
                <w:szCs w:val="22"/>
              </w:rPr>
            </w:pPr>
            <w:r w:rsidRPr="005119FE">
              <w:rPr>
                <w:rFonts w:eastAsia="Calibri"/>
                <w:b/>
                <w:sz w:val="22"/>
                <w:szCs w:val="22"/>
              </w:rPr>
              <w:t>4</w:t>
            </w:r>
          </w:p>
        </w:tc>
        <w:tc>
          <w:tcPr>
            <w:tcW w:w="576" w:type="dxa"/>
            <w:shd w:val="clear" w:color="auto" w:fill="auto"/>
            <w:vAlign w:val="center"/>
          </w:tcPr>
          <w:p w14:paraId="149AB6B1" w14:textId="77777777" w:rsidR="00F92600" w:rsidRPr="005119FE" w:rsidRDefault="00F92600" w:rsidP="005119FE">
            <w:pPr>
              <w:jc w:val="center"/>
              <w:rPr>
                <w:rFonts w:eastAsia="Calibri"/>
                <w:b/>
                <w:sz w:val="22"/>
                <w:szCs w:val="22"/>
              </w:rPr>
            </w:pPr>
            <w:r w:rsidRPr="005119FE">
              <w:rPr>
                <w:rFonts w:eastAsia="Calibri"/>
                <w:b/>
                <w:sz w:val="22"/>
                <w:szCs w:val="22"/>
              </w:rPr>
              <w:t>5</w:t>
            </w:r>
          </w:p>
        </w:tc>
        <w:tc>
          <w:tcPr>
            <w:tcW w:w="576" w:type="dxa"/>
            <w:shd w:val="clear" w:color="auto" w:fill="auto"/>
            <w:vAlign w:val="center"/>
          </w:tcPr>
          <w:p w14:paraId="0E5F5468" w14:textId="77777777" w:rsidR="00F92600" w:rsidRPr="005119FE" w:rsidRDefault="00F92600" w:rsidP="005119FE">
            <w:pPr>
              <w:jc w:val="center"/>
              <w:rPr>
                <w:rFonts w:eastAsia="Calibri"/>
                <w:b/>
                <w:sz w:val="22"/>
                <w:szCs w:val="22"/>
              </w:rPr>
            </w:pPr>
            <w:r w:rsidRPr="005119FE">
              <w:rPr>
                <w:rFonts w:eastAsia="Calibri"/>
                <w:b/>
                <w:sz w:val="22"/>
                <w:szCs w:val="22"/>
              </w:rPr>
              <w:t>6</w:t>
            </w:r>
          </w:p>
        </w:tc>
        <w:tc>
          <w:tcPr>
            <w:tcW w:w="576" w:type="dxa"/>
            <w:shd w:val="clear" w:color="auto" w:fill="auto"/>
            <w:vAlign w:val="center"/>
          </w:tcPr>
          <w:p w14:paraId="7A35E4C8" w14:textId="77777777" w:rsidR="00F92600" w:rsidRPr="005119FE" w:rsidRDefault="00F92600" w:rsidP="005119FE">
            <w:pPr>
              <w:jc w:val="center"/>
              <w:rPr>
                <w:rFonts w:eastAsia="Calibri"/>
                <w:b/>
                <w:sz w:val="22"/>
                <w:szCs w:val="22"/>
              </w:rPr>
            </w:pPr>
            <w:r w:rsidRPr="005119FE">
              <w:rPr>
                <w:rFonts w:eastAsia="Calibri"/>
                <w:b/>
                <w:sz w:val="22"/>
                <w:szCs w:val="22"/>
              </w:rPr>
              <w:t>7</w:t>
            </w:r>
          </w:p>
        </w:tc>
        <w:tc>
          <w:tcPr>
            <w:tcW w:w="576" w:type="dxa"/>
            <w:shd w:val="clear" w:color="auto" w:fill="auto"/>
            <w:vAlign w:val="center"/>
          </w:tcPr>
          <w:p w14:paraId="0096C60B" w14:textId="77777777" w:rsidR="00F92600" w:rsidRPr="005119FE" w:rsidRDefault="00F92600" w:rsidP="005119FE">
            <w:pPr>
              <w:jc w:val="center"/>
              <w:rPr>
                <w:rFonts w:eastAsia="Calibri"/>
                <w:b/>
                <w:sz w:val="22"/>
                <w:szCs w:val="22"/>
              </w:rPr>
            </w:pPr>
            <w:r w:rsidRPr="005119FE">
              <w:rPr>
                <w:rFonts w:eastAsia="Calibri"/>
                <w:b/>
                <w:sz w:val="22"/>
                <w:szCs w:val="22"/>
              </w:rPr>
              <w:t>8</w:t>
            </w:r>
          </w:p>
        </w:tc>
        <w:tc>
          <w:tcPr>
            <w:tcW w:w="576" w:type="dxa"/>
            <w:shd w:val="clear" w:color="auto" w:fill="auto"/>
            <w:vAlign w:val="center"/>
          </w:tcPr>
          <w:p w14:paraId="3338515D" w14:textId="77777777" w:rsidR="00F92600" w:rsidRPr="005119FE" w:rsidRDefault="00F92600" w:rsidP="005119FE">
            <w:pPr>
              <w:jc w:val="center"/>
              <w:rPr>
                <w:rFonts w:eastAsia="Calibri"/>
                <w:b/>
                <w:sz w:val="22"/>
                <w:szCs w:val="22"/>
              </w:rPr>
            </w:pPr>
            <w:r w:rsidRPr="005119FE">
              <w:rPr>
                <w:rFonts w:eastAsia="Calibri"/>
                <w:b/>
                <w:sz w:val="22"/>
                <w:szCs w:val="22"/>
              </w:rPr>
              <w:t>9</w:t>
            </w:r>
          </w:p>
        </w:tc>
        <w:tc>
          <w:tcPr>
            <w:tcW w:w="576" w:type="dxa"/>
            <w:shd w:val="clear" w:color="auto" w:fill="auto"/>
            <w:vAlign w:val="center"/>
          </w:tcPr>
          <w:p w14:paraId="12962D90" w14:textId="77777777" w:rsidR="00F92600" w:rsidRPr="005119FE" w:rsidRDefault="00F92600" w:rsidP="005119FE">
            <w:pPr>
              <w:jc w:val="center"/>
              <w:rPr>
                <w:rFonts w:eastAsia="Calibri"/>
                <w:b/>
                <w:sz w:val="22"/>
                <w:szCs w:val="22"/>
              </w:rPr>
            </w:pPr>
            <w:r w:rsidRPr="005119FE">
              <w:rPr>
                <w:rFonts w:eastAsia="Calibri"/>
                <w:b/>
                <w:sz w:val="22"/>
                <w:szCs w:val="22"/>
              </w:rPr>
              <w:t>10</w:t>
            </w:r>
          </w:p>
        </w:tc>
        <w:tc>
          <w:tcPr>
            <w:tcW w:w="576" w:type="dxa"/>
            <w:shd w:val="clear" w:color="auto" w:fill="auto"/>
            <w:vAlign w:val="center"/>
          </w:tcPr>
          <w:p w14:paraId="265EA4F3" w14:textId="77777777" w:rsidR="00F92600" w:rsidRPr="005119FE" w:rsidRDefault="00F92600" w:rsidP="005119FE">
            <w:pPr>
              <w:jc w:val="center"/>
              <w:rPr>
                <w:rFonts w:eastAsia="Calibri"/>
                <w:b/>
                <w:sz w:val="22"/>
                <w:szCs w:val="22"/>
              </w:rPr>
            </w:pPr>
            <w:r w:rsidRPr="005119FE">
              <w:rPr>
                <w:rFonts w:eastAsia="Calibri"/>
                <w:b/>
                <w:sz w:val="22"/>
                <w:szCs w:val="22"/>
              </w:rPr>
              <w:t>11</w:t>
            </w:r>
          </w:p>
        </w:tc>
      </w:tr>
      <w:tr w:rsidR="00F92600" w14:paraId="371F1091" w14:textId="77777777" w:rsidTr="005119FE">
        <w:tc>
          <w:tcPr>
            <w:tcW w:w="3888" w:type="dxa"/>
            <w:shd w:val="clear" w:color="auto" w:fill="auto"/>
          </w:tcPr>
          <w:p w14:paraId="23CFE269" w14:textId="77777777" w:rsidR="00F92600" w:rsidRPr="005119FE" w:rsidRDefault="00F92600" w:rsidP="005119FE">
            <w:pPr>
              <w:rPr>
                <w:rFonts w:eastAsia="Calibri"/>
                <w:sz w:val="22"/>
                <w:szCs w:val="22"/>
              </w:rPr>
            </w:pPr>
            <w:r w:rsidRPr="005119FE">
              <w:rPr>
                <w:rFonts w:eastAsia="Calibri"/>
                <w:sz w:val="22"/>
                <w:szCs w:val="22"/>
              </w:rPr>
              <w:t>Define, explain, and correctly use terms and concepts to describe the behavior of particles in a gaseous medium</w:t>
            </w:r>
          </w:p>
        </w:tc>
        <w:tc>
          <w:tcPr>
            <w:tcW w:w="576" w:type="dxa"/>
            <w:shd w:val="clear" w:color="auto" w:fill="auto"/>
            <w:vAlign w:val="center"/>
          </w:tcPr>
          <w:p w14:paraId="792D92CC"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64658A97"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2682A96F"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7DAAD459"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1DA1500C"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50889D9F"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2413BE9F"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248495C8"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0D72E018"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0B0BA24F"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585E5CE8" w14:textId="77777777" w:rsidR="00F92600" w:rsidRPr="005119FE" w:rsidRDefault="00F92600" w:rsidP="005119FE">
            <w:pPr>
              <w:jc w:val="center"/>
              <w:rPr>
                <w:rFonts w:eastAsia="Calibri"/>
                <w:sz w:val="22"/>
                <w:szCs w:val="22"/>
              </w:rPr>
            </w:pPr>
          </w:p>
        </w:tc>
      </w:tr>
      <w:tr w:rsidR="00F92600" w14:paraId="637A8E84" w14:textId="77777777" w:rsidTr="005119FE">
        <w:tc>
          <w:tcPr>
            <w:tcW w:w="3888" w:type="dxa"/>
            <w:shd w:val="clear" w:color="auto" w:fill="auto"/>
          </w:tcPr>
          <w:p w14:paraId="3DCB4DD0" w14:textId="77777777" w:rsidR="00F92600" w:rsidRPr="005119FE" w:rsidRDefault="00F92600" w:rsidP="005119FE">
            <w:pPr>
              <w:rPr>
                <w:rFonts w:eastAsia="Calibri"/>
                <w:sz w:val="22"/>
                <w:szCs w:val="22"/>
              </w:rPr>
            </w:pPr>
            <w:r w:rsidRPr="005119FE">
              <w:rPr>
                <w:rFonts w:eastAsia="Calibri"/>
                <w:sz w:val="22"/>
                <w:szCs w:val="22"/>
              </w:rPr>
              <w:t>Recognize situations where aerosol behavior may play a critical role</w:t>
            </w:r>
          </w:p>
        </w:tc>
        <w:tc>
          <w:tcPr>
            <w:tcW w:w="576" w:type="dxa"/>
            <w:shd w:val="clear" w:color="auto" w:fill="auto"/>
            <w:vAlign w:val="center"/>
          </w:tcPr>
          <w:p w14:paraId="3B74F4D0"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10E097A6"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132664BE"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42F391A8"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1527C28F"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315FAA56"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3E167C89"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7FB45EB2"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45A1C514"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6A127830"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6199C72A" w14:textId="77777777" w:rsidR="00F92600" w:rsidRPr="005119FE" w:rsidRDefault="00F92600" w:rsidP="005119FE">
            <w:pPr>
              <w:jc w:val="center"/>
              <w:rPr>
                <w:rFonts w:eastAsia="Calibri"/>
                <w:sz w:val="22"/>
                <w:szCs w:val="22"/>
              </w:rPr>
            </w:pPr>
          </w:p>
        </w:tc>
      </w:tr>
      <w:tr w:rsidR="00F92600" w14:paraId="589BB027" w14:textId="77777777" w:rsidTr="005119FE">
        <w:tc>
          <w:tcPr>
            <w:tcW w:w="3888" w:type="dxa"/>
            <w:shd w:val="clear" w:color="auto" w:fill="auto"/>
          </w:tcPr>
          <w:p w14:paraId="6FBA4C3F" w14:textId="77777777" w:rsidR="00F92600" w:rsidRPr="005119FE" w:rsidRDefault="00F92600" w:rsidP="005119FE">
            <w:pPr>
              <w:rPr>
                <w:rFonts w:eastAsia="Calibri"/>
                <w:sz w:val="22"/>
                <w:szCs w:val="22"/>
              </w:rPr>
            </w:pPr>
            <w:r w:rsidRPr="005119FE">
              <w:rPr>
                <w:rFonts w:eastAsia="Calibri"/>
                <w:sz w:val="22"/>
                <w:szCs w:val="22"/>
              </w:rPr>
              <w:t>Formulate strategies to apply these concepts in solving problems encountered in air pollution control, industrial hygiene, and industry</w:t>
            </w:r>
          </w:p>
        </w:tc>
        <w:tc>
          <w:tcPr>
            <w:tcW w:w="576" w:type="dxa"/>
            <w:shd w:val="clear" w:color="auto" w:fill="auto"/>
            <w:vAlign w:val="center"/>
          </w:tcPr>
          <w:p w14:paraId="590BF51C"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3AC7267D"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051C51CB"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2A7A9E0E"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3D0E599A"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6A902C9A"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380C10F9"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41F3F20E" w14:textId="77777777" w:rsidR="00F92600" w:rsidRPr="005119FE" w:rsidRDefault="00F92600" w:rsidP="005119FE">
            <w:pPr>
              <w:jc w:val="center"/>
              <w:rPr>
                <w:rFonts w:eastAsia="Calibri"/>
                <w:sz w:val="22"/>
                <w:szCs w:val="22"/>
              </w:rPr>
            </w:pPr>
            <w:r w:rsidRPr="005119FE">
              <w:rPr>
                <w:rFonts w:eastAsia="Calibri"/>
                <w:sz w:val="22"/>
                <w:szCs w:val="22"/>
              </w:rPr>
              <w:t>x</w:t>
            </w:r>
          </w:p>
        </w:tc>
        <w:tc>
          <w:tcPr>
            <w:tcW w:w="576" w:type="dxa"/>
            <w:shd w:val="clear" w:color="auto" w:fill="auto"/>
            <w:vAlign w:val="center"/>
          </w:tcPr>
          <w:p w14:paraId="4699D582"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16A0AE93" w14:textId="77777777" w:rsidR="00F92600" w:rsidRPr="005119FE" w:rsidRDefault="00F92600" w:rsidP="005119FE">
            <w:pPr>
              <w:jc w:val="center"/>
              <w:rPr>
                <w:rFonts w:eastAsia="Calibri"/>
                <w:sz w:val="22"/>
                <w:szCs w:val="22"/>
              </w:rPr>
            </w:pPr>
          </w:p>
        </w:tc>
        <w:tc>
          <w:tcPr>
            <w:tcW w:w="576" w:type="dxa"/>
            <w:shd w:val="clear" w:color="auto" w:fill="auto"/>
            <w:vAlign w:val="center"/>
          </w:tcPr>
          <w:p w14:paraId="2D5608C8" w14:textId="77777777" w:rsidR="00F92600" w:rsidRPr="005119FE" w:rsidRDefault="00F92600" w:rsidP="005119FE">
            <w:pPr>
              <w:jc w:val="center"/>
              <w:rPr>
                <w:rFonts w:eastAsia="Calibri"/>
                <w:sz w:val="22"/>
                <w:szCs w:val="22"/>
              </w:rPr>
            </w:pPr>
          </w:p>
        </w:tc>
      </w:tr>
    </w:tbl>
    <w:p w14:paraId="67C1BDA7" w14:textId="77777777" w:rsidR="00D66DDC" w:rsidRDefault="00D66DDC" w:rsidP="00DB21A2">
      <w:pPr>
        <w:pStyle w:val="Heading2"/>
      </w:pPr>
    </w:p>
    <w:p w14:paraId="1E74DC1A" w14:textId="77777777" w:rsidR="00DB21A2" w:rsidRDefault="00DB21A2" w:rsidP="00DB21A2">
      <w:pPr>
        <w:pStyle w:val="Heading2"/>
      </w:pPr>
      <w:bookmarkStart w:id="0" w:name="_GoBack"/>
      <w:bookmarkEnd w:id="0"/>
      <w:r>
        <w:t>Elements Required of All University of Iowa Syllabi</w:t>
      </w:r>
    </w:p>
    <w:p w14:paraId="168D3EB7" w14:textId="08EEFD61" w:rsidR="0073443F" w:rsidRDefault="0073443F" w:rsidP="0073443F">
      <w:pPr>
        <w:pStyle w:val="NormalWeb"/>
        <w:rPr>
          <w:i/>
        </w:rPr>
      </w:pPr>
      <w:r>
        <w:rPr>
          <w:rStyle w:val="Strong"/>
        </w:rPr>
        <w:t xml:space="preserve">Administrative Home </w:t>
      </w:r>
      <w:r>
        <w:br/>
      </w:r>
      <w:r w:rsidRPr="00FC512B">
        <w:rPr>
          <w:i/>
        </w:rPr>
        <w:t xml:space="preserve">This course is given by the </w:t>
      </w:r>
      <w:smartTag w:uri="urn:schemas-microsoft-com:office:smarttags" w:element="place">
        <w:smartTag w:uri="urn:schemas-microsoft-com:office:smarttags" w:element="PlaceType">
          <w:r w:rsidRPr="00FC512B">
            <w:rPr>
              <w:i/>
            </w:rPr>
            <w:t>College</w:t>
          </w:r>
        </w:smartTag>
        <w:r w:rsidRPr="00FC512B">
          <w:rPr>
            <w:i/>
          </w:rPr>
          <w:t xml:space="preserve"> of </w:t>
        </w:r>
        <w:smartTag w:uri="urn:schemas-microsoft-com:office:smarttags" w:element="PlaceName">
          <w:r w:rsidRPr="00FC512B">
            <w:rPr>
              <w:i/>
            </w:rPr>
            <w:t>Public Health</w:t>
          </w:r>
        </w:smartTag>
      </w:smartTag>
      <w:r w:rsidRPr="00FC512B">
        <w:rPr>
          <w:i/>
        </w:rPr>
        <w:t xml:space="preserve">. This means that class policies on matters such as requirements, grading, and sanctions for academic dishonesty are governed by the </w:t>
      </w:r>
      <w:smartTag w:uri="urn:schemas-microsoft-com:office:smarttags" w:element="place">
        <w:smartTag w:uri="urn:schemas-microsoft-com:office:smarttags" w:element="PlaceType">
          <w:r w:rsidRPr="00FC512B">
            <w:rPr>
              <w:i/>
            </w:rPr>
            <w:t>College</w:t>
          </w:r>
        </w:smartTag>
        <w:r w:rsidRPr="00FC512B">
          <w:rPr>
            <w:i/>
          </w:rPr>
          <w:t xml:space="preserve"> of </w:t>
        </w:r>
        <w:smartTag w:uri="urn:schemas-microsoft-com:office:smarttags" w:element="PlaceName">
          <w:r w:rsidRPr="00FC512B">
            <w:rPr>
              <w:i/>
            </w:rPr>
            <w:t>Public Health</w:t>
          </w:r>
        </w:smartTag>
      </w:smartTag>
      <w:r w:rsidRPr="00FC512B">
        <w:rPr>
          <w:i/>
        </w:rPr>
        <w:t xml:space="preserve">. Students wishing to add or drop this course after the official deadline must receive the approval of the Associate Dean for Academic and Student Affairs in the </w:t>
      </w:r>
      <w:smartTag w:uri="urn:schemas-microsoft-com:office:smarttags" w:element="place">
        <w:smartTag w:uri="urn:schemas-microsoft-com:office:smarttags" w:element="PlaceType">
          <w:r w:rsidRPr="00FC512B">
            <w:rPr>
              <w:i/>
            </w:rPr>
            <w:t>College</w:t>
          </w:r>
        </w:smartTag>
        <w:r w:rsidRPr="00FC512B">
          <w:rPr>
            <w:i/>
          </w:rPr>
          <w:t xml:space="preserve"> of </w:t>
        </w:r>
        <w:smartTag w:uri="urn:schemas-microsoft-com:office:smarttags" w:element="PlaceName">
          <w:r w:rsidRPr="00FC512B">
            <w:rPr>
              <w:i/>
            </w:rPr>
            <w:t>Public Health</w:t>
          </w:r>
        </w:smartTag>
      </w:smartTag>
      <w:r w:rsidRPr="00FC512B">
        <w:rPr>
          <w:i/>
        </w:rPr>
        <w:t xml:space="preserve">.  Details of the University policy of cross enrollments may be found at: </w:t>
      </w:r>
      <w:hyperlink r:id="rId11" w:history="1">
        <w:r w:rsidRPr="0073443F">
          <w:rPr>
            <w:rStyle w:val="Hyperlink"/>
            <w:i/>
          </w:rPr>
          <w:t>Cross-Enrollment Policy</w:t>
        </w:r>
      </w:hyperlink>
    </w:p>
    <w:p w14:paraId="43ABA43C" w14:textId="77777777" w:rsidR="0073443F" w:rsidRDefault="0073443F" w:rsidP="0073443F">
      <w:pPr>
        <w:pStyle w:val="NormalWeb"/>
      </w:pPr>
      <w:r>
        <w:rPr>
          <w:rStyle w:val="Strong"/>
        </w:rPr>
        <w:t xml:space="preserve">Electronic Communication </w:t>
      </w:r>
      <w:r>
        <w:br/>
      </w:r>
      <w:r>
        <w:rPr>
          <w:rStyle w:val="Emphasis"/>
        </w:rPr>
        <w:t xml:space="preserve">University policy specifies that students are responsible for all official correspondences sent to their standard University of Iowa e-mail address (@uiowa.edu). Students should check this account frequently. </w:t>
      </w:r>
    </w:p>
    <w:p w14:paraId="380AB093" w14:textId="77777777" w:rsidR="00CD12CB" w:rsidRPr="00CD12CB" w:rsidRDefault="00CD12CB" w:rsidP="00CD12CB">
      <w:pPr>
        <w:pStyle w:val="Default"/>
        <w:rPr>
          <w:rStyle w:val="Strong"/>
          <w:rFonts w:ascii="Times New Roman" w:hAnsi="Times New Roman" w:cs="Times New Roman"/>
        </w:rPr>
      </w:pPr>
      <w:r w:rsidRPr="00CD12CB">
        <w:rPr>
          <w:rStyle w:val="Strong"/>
          <w:rFonts w:ascii="Times New Roman" w:hAnsi="Times New Roman" w:cs="Times New Roman"/>
        </w:rPr>
        <w:t>Accommodations for Disabilities</w:t>
      </w:r>
    </w:p>
    <w:p w14:paraId="538B9B9A" w14:textId="7588F751" w:rsidR="001008FD" w:rsidRDefault="001008FD" w:rsidP="00FE225A">
      <w:pPr>
        <w:ind w:right="308"/>
      </w:pPr>
      <w:r w:rsidRPr="001A4139">
        <w:t xml:space="preserve">The University of Iowa is committed to providing an educational experience that is </w:t>
      </w:r>
      <w:r>
        <w:t>accessible</w:t>
      </w:r>
      <w:r w:rsidRPr="001A4139">
        <w:t xml:space="preserve"> to all students. A student may request academic accommodations for disability (which includes but is not limited to mental health, attention, learning, vision, and physical or health-related conditions). A student seeking academic accommodations should first register with </w:t>
      </w:r>
      <w:r>
        <w:t>S</w:t>
      </w:r>
      <w:r w:rsidRPr="001A4139">
        <w:t xml:space="preserve">tudent </w:t>
      </w:r>
      <w:r>
        <w:t>D</w:t>
      </w:r>
      <w:r w:rsidRPr="001A4139">
        <w:t xml:space="preserve">isability </w:t>
      </w:r>
      <w:r>
        <w:t>S</w:t>
      </w:r>
      <w:r w:rsidRPr="001A4139">
        <w:t xml:space="preserve">ervices (SDS) and then meet with the course instructor privately in their office to make particular arrangements. Reasonable accommodations </w:t>
      </w:r>
      <w:proofErr w:type="gramStart"/>
      <w:r w:rsidRPr="001A4139">
        <w:t>are established</w:t>
      </w:r>
      <w:proofErr w:type="gramEnd"/>
      <w:r w:rsidRPr="001A4139">
        <w:t xml:space="preserve"> through an interactive process between the student, instructor, and SDS. Here is some language you may wish to use.</w:t>
      </w:r>
    </w:p>
    <w:p w14:paraId="2284C66E" w14:textId="77777777" w:rsidR="00FE225A" w:rsidRPr="001A4139" w:rsidRDefault="00FE225A" w:rsidP="00FE225A">
      <w:pPr>
        <w:ind w:right="308"/>
        <w:rPr>
          <w:i/>
        </w:rPr>
      </w:pPr>
    </w:p>
    <w:p w14:paraId="2DDD3658" w14:textId="5B62DB79" w:rsidR="001008FD" w:rsidRDefault="001008FD" w:rsidP="001008FD">
      <w:pPr>
        <w:ind w:right="308"/>
        <w:rPr>
          <w:rStyle w:val="Hyperlink"/>
          <w:i/>
        </w:rPr>
      </w:pPr>
      <w:r w:rsidRPr="001A4139">
        <w:rPr>
          <w:i/>
        </w:rPr>
        <w:t xml:space="preserve">Any student eligible for and needing academic adjustments or accommodations under the Americans with Disabilities Act should notify the instructor as soon as possible to make appropriate arrangements. For more </w:t>
      </w:r>
      <w:proofErr w:type="gramStart"/>
      <w:r w:rsidRPr="001A4139">
        <w:rPr>
          <w:i/>
        </w:rPr>
        <w:t>information</w:t>
      </w:r>
      <w:proofErr w:type="gramEnd"/>
      <w:r w:rsidRPr="001A4139">
        <w:rPr>
          <w:i/>
        </w:rPr>
        <w:t xml:space="preserve"> please visit: </w:t>
      </w:r>
      <w:hyperlink r:id="rId12" w:history="1">
        <w:r w:rsidRPr="001A4139">
          <w:rPr>
            <w:rStyle w:val="Hyperlink"/>
            <w:i/>
          </w:rPr>
          <w:t>Student Disability Services - The University of Iowa</w:t>
        </w:r>
      </w:hyperlink>
    </w:p>
    <w:p w14:paraId="7A8A8925" w14:textId="77777777" w:rsidR="001008FD" w:rsidRPr="001A4139" w:rsidRDefault="001008FD" w:rsidP="001008FD">
      <w:pPr>
        <w:ind w:left="120" w:right="308"/>
        <w:rPr>
          <w:i/>
        </w:rPr>
      </w:pPr>
    </w:p>
    <w:p w14:paraId="2E0F0A35" w14:textId="77777777" w:rsidR="001008FD" w:rsidRPr="001008FD" w:rsidRDefault="001008FD" w:rsidP="001008FD">
      <w:pPr>
        <w:pStyle w:val="Default"/>
        <w:rPr>
          <w:rStyle w:val="Strong"/>
          <w:rFonts w:ascii="Times New Roman" w:hAnsi="Times New Roman"/>
        </w:rPr>
      </w:pPr>
      <w:r w:rsidRPr="001008FD">
        <w:rPr>
          <w:rStyle w:val="Strong"/>
          <w:rFonts w:ascii="Times New Roman" w:hAnsi="Times New Roman"/>
        </w:rPr>
        <w:t>Nondiscrimination in the Classroom</w:t>
      </w:r>
    </w:p>
    <w:p w14:paraId="12075D10" w14:textId="77777777" w:rsidR="001008FD" w:rsidRPr="001008FD" w:rsidRDefault="001008FD" w:rsidP="001008FD">
      <w:pPr>
        <w:pStyle w:val="Default"/>
        <w:rPr>
          <w:rStyle w:val="Strong"/>
          <w:rFonts w:ascii="Times New Roman" w:hAnsi="Times New Roman"/>
          <w:b w:val="0"/>
          <w:i/>
        </w:rPr>
      </w:pPr>
      <w:r w:rsidRPr="001008FD">
        <w:rPr>
          <w:rStyle w:val="Strong"/>
          <w:rFonts w:ascii="Times New Roman" w:hAnsi="Times New Roman"/>
          <w:b w:val="0"/>
          <w:i/>
        </w:rPr>
        <w:t xml:space="preserve">The University of Iowa is committed to making the classroom a respectful and inclusive space for all people irrespective of their gender, sexual, racial, </w:t>
      </w:r>
      <w:proofErr w:type="gramStart"/>
      <w:r w:rsidRPr="001008FD">
        <w:rPr>
          <w:rStyle w:val="Strong"/>
          <w:rFonts w:ascii="Times New Roman" w:hAnsi="Times New Roman"/>
          <w:b w:val="0"/>
          <w:i/>
        </w:rPr>
        <w:t>religious</w:t>
      </w:r>
      <w:proofErr w:type="gramEnd"/>
      <w:r w:rsidRPr="001008FD">
        <w:rPr>
          <w:rStyle w:val="Strong"/>
          <w:rFonts w:ascii="Times New Roman" w:hAnsi="Times New Roman"/>
          <w:b w:val="0"/>
          <w:i/>
        </w:rPr>
        <w:t xml:space="preserve"> or other identities. Here is some language you may wish to use.</w:t>
      </w:r>
    </w:p>
    <w:p w14:paraId="3F89DF11" w14:textId="77777777" w:rsidR="001008FD" w:rsidRPr="001008FD" w:rsidRDefault="001008FD" w:rsidP="001008FD">
      <w:pPr>
        <w:pStyle w:val="Default"/>
        <w:rPr>
          <w:rStyle w:val="Strong"/>
          <w:rFonts w:ascii="Times New Roman" w:hAnsi="Times New Roman"/>
          <w:b w:val="0"/>
          <w:i/>
        </w:rPr>
      </w:pPr>
    </w:p>
    <w:p w14:paraId="273F681E" w14:textId="77777777" w:rsidR="001008FD" w:rsidRPr="001008FD" w:rsidRDefault="001008FD" w:rsidP="001008FD">
      <w:pPr>
        <w:pStyle w:val="Default"/>
        <w:rPr>
          <w:rStyle w:val="Strong"/>
          <w:rFonts w:ascii="Times New Roman" w:hAnsi="Times New Roman"/>
          <w:b w:val="0"/>
          <w:i/>
        </w:rPr>
      </w:pPr>
      <w:r w:rsidRPr="001008FD">
        <w:rPr>
          <w:rStyle w:val="Strong"/>
          <w:rFonts w:ascii="Times New Roman" w:hAnsi="Times New Roman"/>
          <w:b w:val="0"/>
          <w:i/>
        </w:rPr>
        <w:t xml:space="preserve">The University of Iowa prohibits discrimination and harassment against individuals </w:t>
      </w:r>
      <w:proofErr w:type="gramStart"/>
      <w:r w:rsidRPr="001008FD">
        <w:rPr>
          <w:rStyle w:val="Strong"/>
          <w:rFonts w:ascii="Times New Roman" w:hAnsi="Times New Roman"/>
          <w:b w:val="0"/>
          <w:i/>
        </w:rPr>
        <w:t>on the basis of</w:t>
      </w:r>
      <w:proofErr w:type="gramEnd"/>
      <w:r w:rsidRPr="001008FD">
        <w:rPr>
          <w:rStyle w:val="Strong"/>
          <w:rFonts w:ascii="Times New Roman" w:hAnsi="Times New Roman"/>
          <w:b w:val="0"/>
          <w:i/>
        </w:rPr>
        <w:t xml:space="preserve"> race, class, gender, sexual orientation, national origin, and other identity categories set forth in the University’s Human Rights policy. For more information, contact the Office of Equal Opportunity and Diversity at diversity@uiowa.edu or diversity.uiowa.edu.</w:t>
      </w:r>
    </w:p>
    <w:p w14:paraId="468A11AD" w14:textId="77777777" w:rsidR="001008FD" w:rsidRPr="001008FD" w:rsidRDefault="001008FD" w:rsidP="001008FD">
      <w:pPr>
        <w:pStyle w:val="Default"/>
        <w:rPr>
          <w:rStyle w:val="Strong"/>
          <w:rFonts w:ascii="Times New Roman" w:hAnsi="Times New Roman"/>
          <w:b w:val="0"/>
          <w:i/>
        </w:rPr>
      </w:pPr>
    </w:p>
    <w:p w14:paraId="45E42944" w14:textId="2C7F4C55" w:rsidR="001008FD" w:rsidRPr="001008FD" w:rsidRDefault="001008FD" w:rsidP="001008FD">
      <w:pPr>
        <w:pStyle w:val="Default"/>
        <w:rPr>
          <w:rStyle w:val="Strong"/>
          <w:rFonts w:ascii="Times New Roman" w:hAnsi="Times New Roman"/>
          <w:b w:val="0"/>
          <w:i/>
        </w:rPr>
      </w:pPr>
      <w:r w:rsidRPr="001008FD">
        <w:rPr>
          <w:rStyle w:val="Strong"/>
          <w:rFonts w:ascii="Times New Roman" w:hAnsi="Times New Roman"/>
          <w:b w:val="0"/>
          <w:i/>
        </w:rPr>
        <w:t xml:space="preserve">Students </w:t>
      </w:r>
      <w:proofErr w:type="gramStart"/>
      <w:r w:rsidRPr="001008FD">
        <w:rPr>
          <w:rStyle w:val="Strong"/>
          <w:rFonts w:ascii="Times New Roman" w:hAnsi="Times New Roman"/>
          <w:b w:val="0"/>
          <w:i/>
        </w:rPr>
        <w:t>are invited</w:t>
      </w:r>
      <w:proofErr w:type="gramEnd"/>
      <w:r w:rsidRPr="001008FD">
        <w:rPr>
          <w:rStyle w:val="Strong"/>
          <w:rFonts w:ascii="Times New Roman" w:hAnsi="Times New Roman"/>
          <w:b w:val="0"/>
          <w:i/>
        </w:rPr>
        <w:t xml:space="preserve"> to optionally share their preferred names and pronouns with their instructors and classmates. Students are also able to state this information in the </w:t>
      </w:r>
      <w:proofErr w:type="spellStart"/>
      <w:r w:rsidRPr="001008FD">
        <w:rPr>
          <w:rStyle w:val="Strong"/>
          <w:rFonts w:ascii="Times New Roman" w:hAnsi="Times New Roman"/>
          <w:b w:val="0"/>
          <w:i/>
        </w:rPr>
        <w:t>MyUI</w:t>
      </w:r>
      <w:proofErr w:type="spellEnd"/>
      <w:r w:rsidRPr="001008FD">
        <w:rPr>
          <w:rStyle w:val="Strong"/>
          <w:rFonts w:ascii="Times New Roman" w:hAnsi="Times New Roman"/>
          <w:b w:val="0"/>
          <w:i/>
        </w:rPr>
        <w:t xml:space="preserve"> system under Student Information. </w:t>
      </w:r>
      <w:hyperlink r:id="rId13" w:history="1">
        <w:r w:rsidRPr="00D44373">
          <w:rPr>
            <w:rStyle w:val="Hyperlink"/>
            <w:rFonts w:ascii="Times New Roman" w:hAnsi="Times New Roman"/>
            <w:i/>
          </w:rPr>
          <w:t>https://myui.uiowa.edu/my-ui/student/records/documents/preferred-name-pronoun.page</w:t>
        </w:r>
      </w:hyperlink>
      <w:r>
        <w:rPr>
          <w:rStyle w:val="Strong"/>
          <w:rFonts w:ascii="Times New Roman" w:hAnsi="Times New Roman"/>
          <w:b w:val="0"/>
          <w:i/>
        </w:rPr>
        <w:t xml:space="preserve">. </w:t>
      </w:r>
    </w:p>
    <w:p w14:paraId="4E1BDB0E" w14:textId="77777777" w:rsidR="001008FD" w:rsidRDefault="001008FD" w:rsidP="00CD12CB">
      <w:pPr>
        <w:pStyle w:val="Default"/>
        <w:rPr>
          <w:rStyle w:val="Strong"/>
          <w:rFonts w:ascii="Times New Roman" w:hAnsi="Times New Roman"/>
        </w:rPr>
      </w:pPr>
    </w:p>
    <w:p w14:paraId="117A81FA" w14:textId="4409FC2B" w:rsidR="0073443F" w:rsidRPr="00937F54" w:rsidRDefault="0073443F" w:rsidP="00CD12CB">
      <w:pPr>
        <w:pStyle w:val="Default"/>
      </w:pPr>
      <w:r w:rsidRPr="00937F54">
        <w:rPr>
          <w:rStyle w:val="Strong"/>
          <w:rFonts w:ascii="Times New Roman" w:hAnsi="Times New Roman"/>
        </w:rPr>
        <w:t>Academic Misconduct</w:t>
      </w:r>
    </w:p>
    <w:p w14:paraId="23D9099F" w14:textId="77777777" w:rsidR="0073443F" w:rsidRPr="00937F54" w:rsidRDefault="0073443F" w:rsidP="0073443F">
      <w:pPr>
        <w:pStyle w:val="BodyTextIndent"/>
        <w:tabs>
          <w:tab w:val="clear" w:pos="432"/>
        </w:tabs>
        <w:ind w:left="0" w:firstLine="0"/>
        <w:rPr>
          <w:i/>
        </w:rPr>
      </w:pPr>
      <w:r w:rsidRPr="00937F54">
        <w:rPr>
          <w:i/>
        </w:rPr>
        <w:t xml:space="preserve">Academic misconduct is defined by the University of Iowa in its Code of Student Conduct here: </w:t>
      </w:r>
    </w:p>
    <w:p w14:paraId="5852DC45" w14:textId="77777777" w:rsidR="0073443F" w:rsidRPr="00937F54" w:rsidRDefault="00FE225A" w:rsidP="0073443F">
      <w:pPr>
        <w:pStyle w:val="BodyTextIndent"/>
        <w:tabs>
          <w:tab w:val="clear" w:pos="432"/>
        </w:tabs>
        <w:ind w:left="0" w:firstLine="0"/>
        <w:rPr>
          <w:b/>
          <w:i/>
        </w:rPr>
      </w:pPr>
      <w:hyperlink r:id="rId14" w:history="1">
        <w:r w:rsidR="0073443F" w:rsidRPr="0073443F">
          <w:rPr>
            <w:rStyle w:val="Hyperlink"/>
            <w:i/>
          </w:rPr>
          <w:t>Policies &amp; Regulations Affecting Students</w:t>
        </w:r>
      </w:hyperlink>
      <w:r w:rsidR="0073443F" w:rsidRPr="00937F54">
        <w:rPr>
          <w:i/>
        </w:rPr>
        <w:t xml:space="preserve">. Please take the time to read this short description. Academic misconduct refers primarily to plagiarism or cheating.  </w:t>
      </w:r>
      <w:r w:rsidR="0073443F" w:rsidRPr="00937F54">
        <w:rPr>
          <w:b/>
          <w:i/>
        </w:rPr>
        <w:t xml:space="preserve">It is the student’s responsibility to seek clarification from the course instructor of any situation in which he/she is uncertain whether academic misconduct is/has been involved.  </w:t>
      </w:r>
    </w:p>
    <w:p w14:paraId="7DD93627" w14:textId="77777777" w:rsidR="0073443F" w:rsidRPr="00937F54" w:rsidRDefault="0073443F" w:rsidP="0073443F">
      <w:pPr>
        <w:pStyle w:val="Default"/>
        <w:rPr>
          <w:rFonts w:ascii="Times New Roman" w:hAnsi="Times New Roman" w:cs="Times New Roman"/>
          <w:i/>
        </w:rPr>
      </w:pPr>
    </w:p>
    <w:p w14:paraId="10FF7660" w14:textId="77777777" w:rsidR="0073443F" w:rsidRPr="00937F54" w:rsidRDefault="0073443F" w:rsidP="0073443F">
      <w:pPr>
        <w:pStyle w:val="Default"/>
        <w:rPr>
          <w:rFonts w:ascii="Times New Roman" w:hAnsi="Times New Roman" w:cs="Times New Roman"/>
          <w:bCs/>
          <w:i/>
        </w:rPr>
      </w:pPr>
      <w:r w:rsidRPr="00937F54">
        <w:rPr>
          <w:rFonts w:ascii="Times New Roman" w:hAnsi="Times New Roman" w:cs="Times New Roman"/>
          <w:bCs/>
          <w:i/>
        </w:rPr>
        <w:t>Plagiarism includes but is not limited to the following:</w:t>
      </w:r>
    </w:p>
    <w:p w14:paraId="336CEC42"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presentation of ideas of others without credit to the source;</w:t>
      </w:r>
    </w:p>
    <w:p w14:paraId="74B08055"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use of direct quotations without quotation marks and without credit to the source;</w:t>
      </w:r>
    </w:p>
    <w:p w14:paraId="32382D59"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paraphrasing without credit to the source;</w:t>
      </w:r>
    </w:p>
    <w:p w14:paraId="30307B89"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participation in a group project which presents plagiarized materials;</w:t>
      </w:r>
    </w:p>
    <w:p w14:paraId="4F000631"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 xml:space="preserve">failure to provide adequate citation for material obtained through electronic research; </w:t>
      </w:r>
    </w:p>
    <w:p w14:paraId="4EFA7452"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downloading and submitting work from electronic databases without citation;</w:t>
      </w:r>
    </w:p>
    <w:p w14:paraId="794D448E"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submitting material created/written by someone else as one’s own, including purchased term/research papers;</w:t>
      </w:r>
    </w:p>
    <w:p w14:paraId="244BE277" w14:textId="77777777" w:rsidR="0073443F" w:rsidRPr="00937F54" w:rsidRDefault="0073443F" w:rsidP="0073443F">
      <w:pPr>
        <w:pStyle w:val="BodyTextIndent"/>
        <w:tabs>
          <w:tab w:val="clear" w:pos="432"/>
        </w:tabs>
        <w:rPr>
          <w:bCs/>
          <w:i/>
          <w:szCs w:val="24"/>
        </w:rPr>
      </w:pPr>
      <w:r w:rsidRPr="00937F54">
        <w:rPr>
          <w:bCs/>
          <w:i/>
          <w:szCs w:val="24"/>
        </w:rPr>
        <w:t>Cheating includes but is not limited to the following</w:t>
      </w:r>
    </w:p>
    <w:p w14:paraId="0E3BB1D8"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copying from someone else’s exam, homework, or laboratory work</w:t>
      </w:r>
    </w:p>
    <w:p w14:paraId="2322714E"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allowing someone to copy or submit one’s work as his/her own;</w:t>
      </w:r>
    </w:p>
    <w:p w14:paraId="7B617BE6"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accepting credit for a group project without doing one’s share;</w:t>
      </w:r>
    </w:p>
    <w:p w14:paraId="65DB1A18"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submitting the same paper in more than one course without the knowledge and approval of the instructors involved;</w:t>
      </w:r>
    </w:p>
    <w:p w14:paraId="2184E828"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using notes or other materials during a test or exam without authorization;</w:t>
      </w:r>
    </w:p>
    <w:p w14:paraId="02CB0D6B" w14:textId="77777777" w:rsidR="0073443F" w:rsidRPr="00937F54" w:rsidRDefault="0073443F" w:rsidP="0073443F">
      <w:pPr>
        <w:pStyle w:val="BodyTextIndent"/>
        <w:numPr>
          <w:ilvl w:val="0"/>
          <w:numId w:val="3"/>
        </w:numPr>
        <w:tabs>
          <w:tab w:val="clear" w:pos="432"/>
        </w:tabs>
        <w:rPr>
          <w:bCs/>
          <w:i/>
          <w:szCs w:val="24"/>
        </w:rPr>
      </w:pPr>
      <w:r w:rsidRPr="00937F54">
        <w:rPr>
          <w:bCs/>
          <w:i/>
          <w:szCs w:val="24"/>
        </w:rPr>
        <w:t>not following the guidelines specified by the instructor for a “take-home” test or exam.</w:t>
      </w:r>
    </w:p>
    <w:p w14:paraId="42CE6EE7" w14:textId="77777777" w:rsidR="0073443F" w:rsidRPr="00937F54" w:rsidRDefault="0073443F" w:rsidP="0073443F">
      <w:pPr>
        <w:pStyle w:val="BodyTextIndent"/>
        <w:tabs>
          <w:tab w:val="clear" w:pos="432"/>
        </w:tabs>
        <w:ind w:left="720" w:firstLine="0"/>
        <w:rPr>
          <w:bCs/>
          <w:i/>
          <w:szCs w:val="24"/>
        </w:rPr>
      </w:pPr>
    </w:p>
    <w:p w14:paraId="04817422" w14:textId="77777777" w:rsidR="0073443F" w:rsidRPr="00937F54" w:rsidRDefault="0073443F" w:rsidP="0073443F">
      <w:pPr>
        <w:pStyle w:val="style1style2"/>
        <w:spacing w:before="0" w:beforeAutospacing="0" w:after="0" w:afterAutospacing="0"/>
        <w:rPr>
          <w:i/>
        </w:rPr>
      </w:pPr>
      <w:r w:rsidRPr="00937F54">
        <w:rPr>
          <w:i/>
        </w:rPr>
        <w:t xml:space="preserve">Academic misconduct is a serious matter and is reported to the departmental DEO and to the Associate Dean for Education and Student Affairs. Instructors and DEOs decide on appropriate consequences at the departmental level while the Associate Dean enforces additional consequences at the collegiate level.  For example, an incident involving plagiarism will result in consequences to the student ranging from a grade of 0 for that assignment to being terminated from his/her graduate program. Egregious acts of misconduct, such as cheating on a final exam, may result in the course grade being reduced to an F. Additional details concerning the consequences associated with acts of plagiarism, including a student appeals process, is provided in the Graduate College Manual section IV.F. </w:t>
      </w:r>
    </w:p>
    <w:p w14:paraId="7550E928" w14:textId="77777777" w:rsidR="0073443F" w:rsidRPr="00937F54" w:rsidRDefault="0073443F" w:rsidP="0073443F">
      <w:pPr>
        <w:pStyle w:val="BodyTextIndent"/>
        <w:tabs>
          <w:tab w:val="clear" w:pos="432"/>
        </w:tabs>
        <w:ind w:left="720" w:firstLine="0"/>
        <w:rPr>
          <w:bCs/>
          <w:i/>
          <w:szCs w:val="24"/>
        </w:rPr>
      </w:pPr>
    </w:p>
    <w:p w14:paraId="34381BE7" w14:textId="452D84BF" w:rsidR="00CD12CB" w:rsidRPr="00FE0C10" w:rsidRDefault="0073443F" w:rsidP="00CD12CB">
      <w:pPr>
        <w:autoSpaceDE w:val="0"/>
        <w:autoSpaceDN w:val="0"/>
        <w:adjustRightInd w:val="0"/>
        <w:rPr>
          <w:rStyle w:val="Hyperlink"/>
        </w:rPr>
      </w:pPr>
      <w:r w:rsidRPr="00937F54">
        <w:rPr>
          <w:rStyle w:val="Strong"/>
        </w:rPr>
        <w:t>Concerns about Faculty Actions</w:t>
      </w:r>
      <w:r>
        <w:br/>
      </w:r>
      <w:r>
        <w:rPr>
          <w:rStyle w:val="Emphasis"/>
        </w:rPr>
        <w:t xml:space="preserve">Students who have a concern about a faculty action should first address the issue with the instructor, then the course supervisor (if there is one), and then the departmental DEO.  Students may also contact the Associate Dean for Education and Student Affairs in the </w:t>
      </w:r>
      <w:smartTag w:uri="urn:schemas-microsoft-com:office:smarttags" w:element="place">
        <w:smartTag w:uri="urn:schemas-microsoft-com:office:smarttags" w:element="PlaceType">
          <w:r>
            <w:rPr>
              <w:rStyle w:val="Emphasis"/>
            </w:rPr>
            <w:t>College</w:t>
          </w:r>
        </w:smartTag>
        <w:r>
          <w:rPr>
            <w:rStyle w:val="Emphasis"/>
          </w:rPr>
          <w:t xml:space="preserve"> of </w:t>
        </w:r>
        <w:smartTag w:uri="urn:schemas-microsoft-com:office:smarttags" w:element="PlaceName">
          <w:r>
            <w:rPr>
              <w:rStyle w:val="Emphasis"/>
            </w:rPr>
            <w:t>Public Health</w:t>
          </w:r>
        </w:smartTag>
      </w:smartTag>
      <w:r>
        <w:rPr>
          <w:rStyle w:val="Emphasis"/>
        </w:rPr>
        <w:t xml:space="preserve">.  Another resource for students is the Office of the University Ombudsperson.  If a complaint cannot be resolved at the departmental and/or collegiate level, students may file a formal complaint utilizing the procedure specified in the </w:t>
      </w:r>
      <w:r>
        <w:rPr>
          <w:rStyle w:val="Emphasis"/>
          <w:i w:val="0"/>
          <w:iCs w:val="0"/>
        </w:rPr>
        <w:fldChar w:fldCharType="begin"/>
      </w:r>
      <w:r w:rsidR="00CD12CB">
        <w:rPr>
          <w:rStyle w:val="Emphasis"/>
          <w:i w:val="0"/>
          <w:iCs w:val="0"/>
        </w:rPr>
        <w:instrText>HYPERLINK "https://opsmanual.uiowa.edu/community-policies/hearing-regulations-alleged-violations-regents-rules" \l "29.7https://opsmanual.uiowa.edu/community-policies/hearing-regulations-alleged-violations-regents-rules"</w:instrText>
      </w:r>
      <w:r>
        <w:rPr>
          <w:rStyle w:val="Emphasis"/>
          <w:i w:val="0"/>
          <w:iCs w:val="0"/>
        </w:rPr>
        <w:fldChar w:fldCharType="separate"/>
      </w:r>
      <w:r w:rsidRPr="00FE0C10">
        <w:rPr>
          <w:rStyle w:val="Hyperlink"/>
        </w:rPr>
        <w:t>Operations Manual (II-29.7)</w:t>
      </w:r>
      <w:r w:rsidR="00CD12CB">
        <w:rPr>
          <w:rStyle w:val="Hyperlink"/>
        </w:rPr>
        <w:t>.</w:t>
      </w:r>
    </w:p>
    <w:p w14:paraId="7093BF8E" w14:textId="77777777" w:rsidR="00EB644F" w:rsidRDefault="0073443F" w:rsidP="00EB644F">
      <w:pPr>
        <w:pStyle w:val="BodyText"/>
        <w:ind w:right="350"/>
        <w:rPr>
          <w:rStyle w:val="Emphasis"/>
          <w:i w:val="0"/>
          <w:iCs w:val="0"/>
        </w:rPr>
      </w:pPr>
      <w:r>
        <w:rPr>
          <w:rStyle w:val="Emphasis"/>
          <w:i w:val="0"/>
          <w:iCs w:val="0"/>
        </w:rPr>
        <w:fldChar w:fldCharType="end"/>
      </w:r>
    </w:p>
    <w:p w14:paraId="689884B3" w14:textId="23FFB84F" w:rsidR="00EB644F" w:rsidRPr="001A4139" w:rsidRDefault="00CD12CB" w:rsidP="00EB644F">
      <w:pPr>
        <w:pStyle w:val="BodyText"/>
        <w:ind w:right="350"/>
      </w:pPr>
      <w:r w:rsidRPr="00EB644F">
        <w:rPr>
          <w:rStyle w:val="Strong"/>
        </w:rPr>
        <w:t>Sexual Harassment/Misconduct and Class Accommodations</w:t>
      </w:r>
      <w:r w:rsidRPr="00EB644F">
        <w:rPr>
          <w:rStyle w:val="Strong"/>
        </w:rPr>
        <w:br/>
      </w:r>
      <w:r w:rsidR="00EB644F" w:rsidRPr="001A4139">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w:t>
      </w:r>
      <w:proofErr w:type="gramStart"/>
      <w:r w:rsidR="00EB644F" w:rsidRPr="001A4139">
        <w:t>should be reported</w:t>
      </w:r>
      <w:proofErr w:type="gramEnd"/>
      <w:r w:rsidR="00EB644F" w:rsidRPr="001A4139">
        <w:t xml:space="preserve"> to the UI Office of Sexual Misconduct Coordinator (OSMRC), or to the Office of Equal Opportunity and Diversity (EOD). Students </w:t>
      </w:r>
      <w:proofErr w:type="gramStart"/>
      <w:r w:rsidR="00EB644F" w:rsidRPr="001A4139">
        <w:t>impacted</w:t>
      </w:r>
      <w:proofErr w:type="gramEnd"/>
      <w:r w:rsidR="00EB644F" w:rsidRPr="001A4139">
        <w:t xml:space="preserve"> by a Title IX issue (sexual misconduct, dating/domestic violence, or stalking) may be eligible to request an academic accommodation. See the OSMRC for assistance, definitions, and the full University policy at </w:t>
      </w:r>
      <w:hyperlink r:id="rId15">
        <w:r w:rsidR="00EB644F" w:rsidRPr="001A4139">
          <w:rPr>
            <w:rStyle w:val="Hyperlink"/>
          </w:rPr>
          <w:t>Office of the Sexual Misconduct Response Coordinator</w:t>
        </w:r>
      </w:hyperlink>
      <w:r w:rsidR="00EB644F" w:rsidRPr="001A4139">
        <w:t xml:space="preserve">. Additional information about confidential resources for students subject to sexual harassment/misconduct is available at </w:t>
      </w:r>
      <w:hyperlink r:id="rId16">
        <w:r w:rsidR="00EB644F" w:rsidRPr="001A4139">
          <w:rPr>
            <w:rStyle w:val="Hyperlink"/>
          </w:rPr>
          <w:t>Confidential Resources for Students</w:t>
        </w:r>
      </w:hyperlink>
      <w:r w:rsidR="00EB644F" w:rsidRPr="001A4139">
        <w:t xml:space="preserve">. </w:t>
      </w:r>
    </w:p>
    <w:p w14:paraId="462B8A7A" w14:textId="77777777" w:rsidR="00EB644F" w:rsidRPr="001A4139" w:rsidRDefault="00EB644F" w:rsidP="00EB644F">
      <w:pPr>
        <w:pStyle w:val="NormalWeb"/>
        <w:spacing w:before="0" w:beforeAutospacing="0" w:after="0" w:afterAutospacing="0"/>
        <w:rPr>
          <w:rStyle w:val="Emphasis"/>
          <w:i w:val="0"/>
        </w:rPr>
      </w:pPr>
    </w:p>
    <w:p w14:paraId="0F6C48A9" w14:textId="77777777" w:rsidR="00EB644F" w:rsidRPr="001A4139" w:rsidRDefault="00EB644F" w:rsidP="00EB644F">
      <w:pPr>
        <w:rPr>
          <w:i/>
        </w:rPr>
      </w:pPr>
      <w:r w:rsidRPr="001A4139">
        <w:rPr>
          <w:rStyle w:val="ops-redline-version"/>
          <w:i/>
        </w:rPr>
        <w:t xml:space="preserve">If you or someone you know may be a victim of sexual assault, sexual harassment, dating/domestic violence, stalking, or any other behaviors prohibited under this policy, you are strongly encouraged to seek assistance and support. Assistance is available 24 hours a day, 7 days a week, </w:t>
      </w:r>
      <w:proofErr w:type="gramStart"/>
      <w:r w:rsidRPr="001A4139">
        <w:rPr>
          <w:rStyle w:val="ops-redline-version"/>
          <w:i/>
        </w:rPr>
        <w:t>from</w:t>
      </w:r>
      <w:proofErr w:type="gramEnd"/>
      <w:r w:rsidRPr="001A4139">
        <w:rPr>
          <w:rStyle w:val="ops-redline-version"/>
          <w:i/>
        </w:rPr>
        <w:t>:</w:t>
      </w:r>
    </w:p>
    <w:p w14:paraId="482C22CF" w14:textId="77777777" w:rsidR="00EB644F" w:rsidRPr="001A4139" w:rsidRDefault="00EB644F" w:rsidP="00EB644F">
      <w:pPr>
        <w:numPr>
          <w:ilvl w:val="0"/>
          <w:numId w:val="7"/>
        </w:numPr>
        <w:rPr>
          <w:i/>
        </w:rPr>
      </w:pPr>
      <w:r w:rsidRPr="001A4139">
        <w:rPr>
          <w:rStyle w:val="ops-redline-version"/>
          <w:i/>
        </w:rPr>
        <w:t>Rape Victim Advocacy Program (RVAP) — confidential, certified victim advocacy services, 319-335-6000</w:t>
      </w:r>
    </w:p>
    <w:p w14:paraId="60402781" w14:textId="77777777" w:rsidR="00EB644F" w:rsidRPr="001A4139" w:rsidRDefault="00EB644F" w:rsidP="00EB644F">
      <w:pPr>
        <w:numPr>
          <w:ilvl w:val="0"/>
          <w:numId w:val="7"/>
        </w:numPr>
        <w:rPr>
          <w:i/>
        </w:rPr>
      </w:pPr>
      <w:r w:rsidRPr="001A4139">
        <w:rPr>
          <w:rStyle w:val="ops-redline-version"/>
          <w:i/>
        </w:rPr>
        <w:t>Domestic Violence Intervention Program (DVIP) — confidential, certified victim advocacy services, 319-351-1043 or 800-373-1043</w:t>
      </w:r>
    </w:p>
    <w:p w14:paraId="18386492" w14:textId="77777777" w:rsidR="00EB644F" w:rsidRPr="001A4139" w:rsidRDefault="00EB644F" w:rsidP="00EB644F">
      <w:pPr>
        <w:numPr>
          <w:ilvl w:val="0"/>
          <w:numId w:val="7"/>
        </w:numPr>
        <w:rPr>
          <w:i/>
        </w:rPr>
      </w:pPr>
      <w:r w:rsidRPr="001A4139">
        <w:rPr>
          <w:rStyle w:val="ops-redline-version"/>
          <w:i/>
        </w:rPr>
        <w:t>Emergency Department, University of Iowa Hospitals and Clinics — confidential medical services, 319-356-2233</w:t>
      </w:r>
    </w:p>
    <w:p w14:paraId="4676ED4F" w14:textId="77777777" w:rsidR="00EB644F" w:rsidRPr="001A4139" w:rsidRDefault="00EB644F" w:rsidP="00EB644F">
      <w:pPr>
        <w:numPr>
          <w:ilvl w:val="0"/>
          <w:numId w:val="7"/>
        </w:numPr>
        <w:rPr>
          <w:i/>
        </w:rPr>
      </w:pPr>
      <w:r w:rsidRPr="001A4139">
        <w:rPr>
          <w:rStyle w:val="ops-redline-version"/>
          <w:i/>
        </w:rPr>
        <w:t>University of Iowa Department of Public Safety — law enforcement services, 319-335-5022, or 911 from any campus phone</w:t>
      </w:r>
    </w:p>
    <w:p w14:paraId="5B7AD959" w14:textId="77777777" w:rsidR="00EB644F" w:rsidRPr="001A4139" w:rsidRDefault="00EB644F" w:rsidP="00EB644F">
      <w:pPr>
        <w:pStyle w:val="NormalWeb"/>
        <w:spacing w:before="0" w:beforeAutospacing="0" w:after="0" w:afterAutospacing="0"/>
        <w:rPr>
          <w:rStyle w:val="ops-redline-version"/>
          <w:i/>
        </w:rPr>
      </w:pPr>
    </w:p>
    <w:p w14:paraId="12F10985" w14:textId="77777777" w:rsidR="00EB644F" w:rsidRPr="001A4139" w:rsidRDefault="00EB644F" w:rsidP="00EB644F">
      <w:pPr>
        <w:rPr>
          <w:i/>
        </w:rPr>
      </w:pPr>
      <w:r w:rsidRPr="001A4139">
        <w:rPr>
          <w:i/>
        </w:rPr>
        <w:t>During business hours, you may also seek assistance from the University of Iowa Office of the Sexual Misconduct Response Coordinator, 319-335-6200. (</w:t>
      </w:r>
      <w:hyperlink r:id="rId17" w:history="1">
        <w:r w:rsidRPr="001A4139">
          <w:rPr>
            <w:i/>
          </w:rPr>
          <w:t>https://opsmanual.uiowa.edu/students/sexual-misconduct-datingdomestic-violence-or-stalking-involving-students</w:t>
        </w:r>
      </w:hyperlink>
      <w:r w:rsidRPr="001A4139">
        <w:rPr>
          <w:i/>
        </w:rPr>
        <w:t>)</w:t>
      </w:r>
    </w:p>
    <w:p w14:paraId="229D6BB0" w14:textId="77777777" w:rsidR="00EB644F" w:rsidRDefault="00EB644F" w:rsidP="00EB644F">
      <w:pPr>
        <w:rPr>
          <w:rStyle w:val="Strong"/>
        </w:rPr>
      </w:pPr>
    </w:p>
    <w:p w14:paraId="0B2B0A06" w14:textId="3EF04540" w:rsidR="00CD12CB" w:rsidRDefault="0073443F" w:rsidP="00EB644F">
      <w:pPr>
        <w:rPr>
          <w:rStyle w:val="Strong"/>
        </w:rPr>
      </w:pPr>
      <w:r>
        <w:rPr>
          <w:rStyle w:val="Strong"/>
        </w:rPr>
        <w:t>Reacting Safely to Severe Weather</w:t>
      </w:r>
    </w:p>
    <w:p w14:paraId="7CF27C6A" w14:textId="3680EDAE" w:rsidR="0073443F" w:rsidRDefault="0073443F" w:rsidP="00CD12CB">
      <w:pPr>
        <w:pStyle w:val="NormalWeb"/>
        <w:rPr>
          <w:i/>
        </w:rPr>
      </w:pPr>
      <w:r w:rsidRPr="00331BD9">
        <w:rPr>
          <w:i/>
        </w:rPr>
        <w:t>In severe weather, class members should seek appropriate shelter immediately, leaving the classroom if necessary. The class will continue if possible when the event is over. For more information on Hawk Alert and the siren warning system, visi</w:t>
      </w:r>
      <w:r w:rsidRPr="0073443F">
        <w:rPr>
          <w:i/>
        </w:rPr>
        <w:t xml:space="preserve">t </w:t>
      </w:r>
      <w:hyperlink r:id="rId18" w:history="1">
        <w:r w:rsidRPr="0073443F">
          <w:rPr>
            <w:rStyle w:val="Hyperlink"/>
            <w:i/>
          </w:rPr>
          <w:t>Hawk Alert</w:t>
        </w:r>
      </w:hyperlink>
    </w:p>
    <w:p w14:paraId="7D9BD921" w14:textId="77777777" w:rsidR="0073443F" w:rsidRPr="00331BD9" w:rsidRDefault="0073443F" w:rsidP="0073443F">
      <w:pPr>
        <w:pStyle w:val="style1style2"/>
        <w:spacing w:before="0" w:beforeAutospacing="0" w:after="0" w:afterAutospacing="0"/>
        <w:rPr>
          <w:i/>
        </w:rPr>
      </w:pPr>
      <w:r w:rsidRPr="00331BD9">
        <w:rPr>
          <w:i/>
        </w:rPr>
        <w:t xml:space="preserve"> </w:t>
      </w:r>
    </w:p>
    <w:p w14:paraId="05394DAB" w14:textId="77777777" w:rsidR="00386423" w:rsidRDefault="00386423" w:rsidP="0073443F">
      <w:pPr>
        <w:spacing w:before="100" w:beforeAutospacing="1" w:after="100" w:afterAutospacing="1"/>
      </w:pPr>
    </w:p>
    <w:sectPr w:rsidR="00386423" w:rsidSect="00131089">
      <w:headerReference w:type="default" r:id="rId19"/>
      <w:footerReference w:type="default" r:id="rId20"/>
      <w:pgSz w:w="12240" w:h="15840"/>
      <w:pgMar w:top="1267" w:right="1555"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68F7B" w14:textId="77777777" w:rsidR="00DE4EFC" w:rsidRDefault="00DE4EFC" w:rsidP="009F4303">
      <w:r>
        <w:separator/>
      </w:r>
    </w:p>
  </w:endnote>
  <w:endnote w:type="continuationSeparator" w:id="0">
    <w:p w14:paraId="26979BD2" w14:textId="77777777" w:rsidR="00DE4EFC" w:rsidRDefault="00DE4EFC" w:rsidP="009F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A33D" w14:textId="04A22CA9" w:rsidR="00E65DA4" w:rsidRDefault="00E65DA4">
    <w:pPr>
      <w:pStyle w:val="Footer"/>
      <w:jc w:val="center"/>
    </w:pPr>
    <w:r>
      <w:fldChar w:fldCharType="begin"/>
    </w:r>
    <w:r>
      <w:instrText xml:space="preserve"> PAGE   \* MERGEFORMAT </w:instrText>
    </w:r>
    <w:r>
      <w:fldChar w:fldCharType="separate"/>
    </w:r>
    <w:r w:rsidR="00FE225A">
      <w:rPr>
        <w:noProof/>
      </w:rPr>
      <w:t>7</w:t>
    </w:r>
    <w:r>
      <w:fldChar w:fldCharType="end"/>
    </w:r>
  </w:p>
  <w:p w14:paraId="0DB561F6" w14:textId="77777777" w:rsidR="00E65DA4" w:rsidRDefault="00E6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0E30" w14:textId="77777777" w:rsidR="00DE4EFC" w:rsidRDefault="00DE4EFC" w:rsidP="009F4303">
      <w:r>
        <w:separator/>
      </w:r>
    </w:p>
  </w:footnote>
  <w:footnote w:type="continuationSeparator" w:id="0">
    <w:p w14:paraId="68DD24C1" w14:textId="77777777" w:rsidR="00DE4EFC" w:rsidRDefault="00DE4EFC" w:rsidP="009F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6B14" w14:textId="53DA34F9" w:rsidR="00E65DA4" w:rsidRDefault="00E65DA4">
    <w:pPr>
      <w:pStyle w:val="Header"/>
    </w:pPr>
    <w:r>
      <w:t>Aerosol Tech</w:t>
    </w:r>
    <w:r w:rsidR="004040E2">
      <w:t>nology – Syllabus – Fall 2018</w:t>
    </w:r>
  </w:p>
  <w:p w14:paraId="78B8C0A5" w14:textId="714D4906" w:rsidR="00E65DA4" w:rsidRDefault="004040E2">
    <w:pPr>
      <w:pStyle w:val="Header"/>
    </w:pPr>
    <w:r>
      <w:t>August 8, 2018</w:t>
    </w:r>
  </w:p>
  <w:p w14:paraId="62C366BC" w14:textId="77777777" w:rsidR="00FF35A2" w:rsidRDefault="00FF35A2" w:rsidP="0024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69A"/>
    <w:multiLevelType w:val="hybridMultilevel"/>
    <w:tmpl w:val="AC20EBE0"/>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57C6170"/>
    <w:multiLevelType w:val="hybridMultilevel"/>
    <w:tmpl w:val="AC92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A766B"/>
    <w:multiLevelType w:val="hybridMultilevel"/>
    <w:tmpl w:val="D1F8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033F7"/>
    <w:multiLevelType w:val="hybridMultilevel"/>
    <w:tmpl w:val="846A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A4A01"/>
    <w:multiLevelType w:val="hybridMultilevel"/>
    <w:tmpl w:val="B39ABA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B420FE0"/>
    <w:multiLevelType w:val="hybridMultilevel"/>
    <w:tmpl w:val="8B80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2166F"/>
    <w:multiLevelType w:val="hybridMultilevel"/>
    <w:tmpl w:val="9BD24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74"/>
    <w:rsid w:val="00012027"/>
    <w:rsid w:val="00035B6E"/>
    <w:rsid w:val="00040C46"/>
    <w:rsid w:val="00045E2E"/>
    <w:rsid w:val="00063EB1"/>
    <w:rsid w:val="000A3126"/>
    <w:rsid w:val="000A333B"/>
    <w:rsid w:val="000A4A1E"/>
    <w:rsid w:val="000A6C16"/>
    <w:rsid w:val="000B1F3B"/>
    <w:rsid w:val="000B69C0"/>
    <w:rsid w:val="000F0FDB"/>
    <w:rsid w:val="000F4E8B"/>
    <w:rsid w:val="000F62CC"/>
    <w:rsid w:val="000F72F2"/>
    <w:rsid w:val="000F7CB3"/>
    <w:rsid w:val="001008FD"/>
    <w:rsid w:val="00102324"/>
    <w:rsid w:val="00107974"/>
    <w:rsid w:val="00122018"/>
    <w:rsid w:val="00131089"/>
    <w:rsid w:val="00135564"/>
    <w:rsid w:val="00140AD8"/>
    <w:rsid w:val="00146468"/>
    <w:rsid w:val="001464BE"/>
    <w:rsid w:val="00146A3C"/>
    <w:rsid w:val="00147804"/>
    <w:rsid w:val="001579F3"/>
    <w:rsid w:val="001614AB"/>
    <w:rsid w:val="001747A0"/>
    <w:rsid w:val="001815E7"/>
    <w:rsid w:val="001925A4"/>
    <w:rsid w:val="001A0396"/>
    <w:rsid w:val="001A7B70"/>
    <w:rsid w:val="001E2BA8"/>
    <w:rsid w:val="00222607"/>
    <w:rsid w:val="00223D8E"/>
    <w:rsid w:val="00225DE7"/>
    <w:rsid w:val="002323B5"/>
    <w:rsid w:val="00242DAC"/>
    <w:rsid w:val="0024335C"/>
    <w:rsid w:val="002479C7"/>
    <w:rsid w:val="00256632"/>
    <w:rsid w:val="002600A1"/>
    <w:rsid w:val="002636D1"/>
    <w:rsid w:val="00264DC8"/>
    <w:rsid w:val="002666AE"/>
    <w:rsid w:val="002726BD"/>
    <w:rsid w:val="002756B0"/>
    <w:rsid w:val="00284B52"/>
    <w:rsid w:val="002A72F3"/>
    <w:rsid w:val="002C4DA5"/>
    <w:rsid w:val="002D3AF7"/>
    <w:rsid w:val="002D77D4"/>
    <w:rsid w:val="002E5700"/>
    <w:rsid w:val="002F5CB9"/>
    <w:rsid w:val="00302B3A"/>
    <w:rsid w:val="00307EB1"/>
    <w:rsid w:val="00314E0D"/>
    <w:rsid w:val="003221DE"/>
    <w:rsid w:val="003513F4"/>
    <w:rsid w:val="00352B70"/>
    <w:rsid w:val="003546F0"/>
    <w:rsid w:val="003700D5"/>
    <w:rsid w:val="00375080"/>
    <w:rsid w:val="00386423"/>
    <w:rsid w:val="0039421A"/>
    <w:rsid w:val="0039517D"/>
    <w:rsid w:val="003968D3"/>
    <w:rsid w:val="003A5118"/>
    <w:rsid w:val="003B2132"/>
    <w:rsid w:val="003C3817"/>
    <w:rsid w:val="003C384B"/>
    <w:rsid w:val="003C510F"/>
    <w:rsid w:val="003D4224"/>
    <w:rsid w:val="003E5913"/>
    <w:rsid w:val="003F5B7A"/>
    <w:rsid w:val="004040E2"/>
    <w:rsid w:val="00417303"/>
    <w:rsid w:val="00421E5A"/>
    <w:rsid w:val="004319F8"/>
    <w:rsid w:val="00433370"/>
    <w:rsid w:val="00440369"/>
    <w:rsid w:val="0044725F"/>
    <w:rsid w:val="004473B4"/>
    <w:rsid w:val="004543A4"/>
    <w:rsid w:val="00470B1B"/>
    <w:rsid w:val="00471A34"/>
    <w:rsid w:val="00480147"/>
    <w:rsid w:val="0048450B"/>
    <w:rsid w:val="00487541"/>
    <w:rsid w:val="00491077"/>
    <w:rsid w:val="004A2266"/>
    <w:rsid w:val="004A6EF9"/>
    <w:rsid w:val="004B2EF5"/>
    <w:rsid w:val="004D022E"/>
    <w:rsid w:val="004E0432"/>
    <w:rsid w:val="004E3CA4"/>
    <w:rsid w:val="004E7F0E"/>
    <w:rsid w:val="004F1D7E"/>
    <w:rsid w:val="004F634B"/>
    <w:rsid w:val="004F644C"/>
    <w:rsid w:val="00504C10"/>
    <w:rsid w:val="005119FE"/>
    <w:rsid w:val="005454AB"/>
    <w:rsid w:val="0055357F"/>
    <w:rsid w:val="0056345E"/>
    <w:rsid w:val="00576A40"/>
    <w:rsid w:val="005771C1"/>
    <w:rsid w:val="005A36FB"/>
    <w:rsid w:val="005B6694"/>
    <w:rsid w:val="005B7E6B"/>
    <w:rsid w:val="005C3BCC"/>
    <w:rsid w:val="005C3FA8"/>
    <w:rsid w:val="005C7478"/>
    <w:rsid w:val="005D09BB"/>
    <w:rsid w:val="005D220E"/>
    <w:rsid w:val="005D3B00"/>
    <w:rsid w:val="005E0F53"/>
    <w:rsid w:val="005E54AE"/>
    <w:rsid w:val="005F276F"/>
    <w:rsid w:val="005F49B4"/>
    <w:rsid w:val="005F5C23"/>
    <w:rsid w:val="005F6A77"/>
    <w:rsid w:val="00604260"/>
    <w:rsid w:val="00611B81"/>
    <w:rsid w:val="006209F5"/>
    <w:rsid w:val="00621029"/>
    <w:rsid w:val="006232BE"/>
    <w:rsid w:val="00635EF5"/>
    <w:rsid w:val="00640E09"/>
    <w:rsid w:val="00646FF2"/>
    <w:rsid w:val="006653CC"/>
    <w:rsid w:val="00667648"/>
    <w:rsid w:val="00676F3E"/>
    <w:rsid w:val="006806BC"/>
    <w:rsid w:val="00683921"/>
    <w:rsid w:val="006876C3"/>
    <w:rsid w:val="00696FE7"/>
    <w:rsid w:val="006A1491"/>
    <w:rsid w:val="006C2239"/>
    <w:rsid w:val="006D03BA"/>
    <w:rsid w:val="006E0D1F"/>
    <w:rsid w:val="006E64C7"/>
    <w:rsid w:val="006E7730"/>
    <w:rsid w:val="00701498"/>
    <w:rsid w:val="007041CF"/>
    <w:rsid w:val="0070576C"/>
    <w:rsid w:val="00726D0C"/>
    <w:rsid w:val="0073443F"/>
    <w:rsid w:val="00744917"/>
    <w:rsid w:val="007516F7"/>
    <w:rsid w:val="00756852"/>
    <w:rsid w:val="00760117"/>
    <w:rsid w:val="00772059"/>
    <w:rsid w:val="00780A25"/>
    <w:rsid w:val="0078273E"/>
    <w:rsid w:val="0079014C"/>
    <w:rsid w:val="0079743D"/>
    <w:rsid w:val="007C4951"/>
    <w:rsid w:val="007D145E"/>
    <w:rsid w:val="007D7F44"/>
    <w:rsid w:val="007E3665"/>
    <w:rsid w:val="007F4854"/>
    <w:rsid w:val="008077DE"/>
    <w:rsid w:val="00825F8C"/>
    <w:rsid w:val="00836A50"/>
    <w:rsid w:val="008667DE"/>
    <w:rsid w:val="00870513"/>
    <w:rsid w:val="008844FA"/>
    <w:rsid w:val="00886FED"/>
    <w:rsid w:val="008A19C7"/>
    <w:rsid w:val="008C127C"/>
    <w:rsid w:val="008C1B28"/>
    <w:rsid w:val="008E0894"/>
    <w:rsid w:val="008E7ED3"/>
    <w:rsid w:val="008F22B1"/>
    <w:rsid w:val="00900A57"/>
    <w:rsid w:val="00904C31"/>
    <w:rsid w:val="009067AF"/>
    <w:rsid w:val="009115FE"/>
    <w:rsid w:val="00913E18"/>
    <w:rsid w:val="009146D9"/>
    <w:rsid w:val="00921E7C"/>
    <w:rsid w:val="0092404B"/>
    <w:rsid w:val="00924244"/>
    <w:rsid w:val="0096044D"/>
    <w:rsid w:val="00961F88"/>
    <w:rsid w:val="00970B7A"/>
    <w:rsid w:val="009812C8"/>
    <w:rsid w:val="009B05A1"/>
    <w:rsid w:val="009C268B"/>
    <w:rsid w:val="009C33C2"/>
    <w:rsid w:val="009D1B43"/>
    <w:rsid w:val="009E306F"/>
    <w:rsid w:val="009F4303"/>
    <w:rsid w:val="009F60E6"/>
    <w:rsid w:val="00A00A98"/>
    <w:rsid w:val="00A057B9"/>
    <w:rsid w:val="00A21E41"/>
    <w:rsid w:val="00A4539D"/>
    <w:rsid w:val="00A60C7C"/>
    <w:rsid w:val="00A644CD"/>
    <w:rsid w:val="00A64C07"/>
    <w:rsid w:val="00A77434"/>
    <w:rsid w:val="00A92DCA"/>
    <w:rsid w:val="00A97041"/>
    <w:rsid w:val="00A97C7D"/>
    <w:rsid w:val="00AA44DF"/>
    <w:rsid w:val="00AB42D0"/>
    <w:rsid w:val="00AB5266"/>
    <w:rsid w:val="00AB55A0"/>
    <w:rsid w:val="00AB576D"/>
    <w:rsid w:val="00AC7577"/>
    <w:rsid w:val="00AD6172"/>
    <w:rsid w:val="00AD6524"/>
    <w:rsid w:val="00AE3BDB"/>
    <w:rsid w:val="00AF22C2"/>
    <w:rsid w:val="00AF29CB"/>
    <w:rsid w:val="00AF3A2B"/>
    <w:rsid w:val="00AF55CD"/>
    <w:rsid w:val="00B14530"/>
    <w:rsid w:val="00B15225"/>
    <w:rsid w:val="00B17EDB"/>
    <w:rsid w:val="00B3672A"/>
    <w:rsid w:val="00B45AD6"/>
    <w:rsid w:val="00B60F10"/>
    <w:rsid w:val="00B61C26"/>
    <w:rsid w:val="00B658A9"/>
    <w:rsid w:val="00B712C8"/>
    <w:rsid w:val="00B761AB"/>
    <w:rsid w:val="00B7636F"/>
    <w:rsid w:val="00BA1F2C"/>
    <w:rsid w:val="00BA33A4"/>
    <w:rsid w:val="00BA3AAF"/>
    <w:rsid w:val="00BA7BC0"/>
    <w:rsid w:val="00BB372B"/>
    <w:rsid w:val="00BB3AE4"/>
    <w:rsid w:val="00BC1BD1"/>
    <w:rsid w:val="00BC7217"/>
    <w:rsid w:val="00BE08FD"/>
    <w:rsid w:val="00BE15AC"/>
    <w:rsid w:val="00BE415D"/>
    <w:rsid w:val="00BE6908"/>
    <w:rsid w:val="00BE7EB4"/>
    <w:rsid w:val="00BF72B5"/>
    <w:rsid w:val="00C04FBA"/>
    <w:rsid w:val="00C27613"/>
    <w:rsid w:val="00C27DCC"/>
    <w:rsid w:val="00C4049E"/>
    <w:rsid w:val="00C4479B"/>
    <w:rsid w:val="00C46DBA"/>
    <w:rsid w:val="00C602F7"/>
    <w:rsid w:val="00C740DE"/>
    <w:rsid w:val="00C814FD"/>
    <w:rsid w:val="00C87612"/>
    <w:rsid w:val="00C87F55"/>
    <w:rsid w:val="00C95594"/>
    <w:rsid w:val="00C971A4"/>
    <w:rsid w:val="00CA30D2"/>
    <w:rsid w:val="00CB73CA"/>
    <w:rsid w:val="00CD12CB"/>
    <w:rsid w:val="00CD1A5A"/>
    <w:rsid w:val="00CD5D1A"/>
    <w:rsid w:val="00CE5CE4"/>
    <w:rsid w:val="00CE7D8E"/>
    <w:rsid w:val="00CF585E"/>
    <w:rsid w:val="00D02F14"/>
    <w:rsid w:val="00D13D6A"/>
    <w:rsid w:val="00D517A9"/>
    <w:rsid w:val="00D606D4"/>
    <w:rsid w:val="00D66DDC"/>
    <w:rsid w:val="00D67509"/>
    <w:rsid w:val="00D723CD"/>
    <w:rsid w:val="00D77629"/>
    <w:rsid w:val="00D80883"/>
    <w:rsid w:val="00D817EA"/>
    <w:rsid w:val="00D910E4"/>
    <w:rsid w:val="00D9210A"/>
    <w:rsid w:val="00DA58F2"/>
    <w:rsid w:val="00DB21A2"/>
    <w:rsid w:val="00DC2152"/>
    <w:rsid w:val="00DD7E55"/>
    <w:rsid w:val="00DE4EFC"/>
    <w:rsid w:val="00DF068B"/>
    <w:rsid w:val="00E064C7"/>
    <w:rsid w:val="00E32DF4"/>
    <w:rsid w:val="00E3477A"/>
    <w:rsid w:val="00E472ED"/>
    <w:rsid w:val="00E5300E"/>
    <w:rsid w:val="00E6593F"/>
    <w:rsid w:val="00E65DA4"/>
    <w:rsid w:val="00E92E25"/>
    <w:rsid w:val="00E95B69"/>
    <w:rsid w:val="00EA1230"/>
    <w:rsid w:val="00EA48EA"/>
    <w:rsid w:val="00EB2FAB"/>
    <w:rsid w:val="00EB644F"/>
    <w:rsid w:val="00EC2E7A"/>
    <w:rsid w:val="00EC5037"/>
    <w:rsid w:val="00EC760D"/>
    <w:rsid w:val="00EE41A3"/>
    <w:rsid w:val="00EE5765"/>
    <w:rsid w:val="00EF482C"/>
    <w:rsid w:val="00EF7CF5"/>
    <w:rsid w:val="00F05AFA"/>
    <w:rsid w:val="00F170BC"/>
    <w:rsid w:val="00F23A64"/>
    <w:rsid w:val="00F33754"/>
    <w:rsid w:val="00F42B06"/>
    <w:rsid w:val="00F53368"/>
    <w:rsid w:val="00F6008D"/>
    <w:rsid w:val="00F63FBC"/>
    <w:rsid w:val="00F7744B"/>
    <w:rsid w:val="00F902C2"/>
    <w:rsid w:val="00F92600"/>
    <w:rsid w:val="00FB76CC"/>
    <w:rsid w:val="00FC6E0F"/>
    <w:rsid w:val="00FD5663"/>
    <w:rsid w:val="00FE225A"/>
    <w:rsid w:val="00FE275B"/>
    <w:rsid w:val="00FF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3553"/>
    <o:shapelayout v:ext="edit">
      <o:idmap v:ext="edit" data="1"/>
    </o:shapelayout>
  </w:shapeDefaults>
  <w:decimalSymbol w:val="."/>
  <w:listSeparator w:val=","/>
  <w14:docId w14:val="65DCC04D"/>
  <w15:docId w15:val="{BDBC47DA-559E-4E7F-A38A-8C7ABBE3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rsid w:val="00780A25"/>
    <w:pPr>
      <w:keepNext/>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sid w:val="00B3672A"/>
    <w:rPr>
      <w:rFonts w:ascii="Tahoma" w:hAnsi="Tahoma" w:cs="Tahoma"/>
      <w:sz w:val="16"/>
      <w:szCs w:val="16"/>
    </w:rPr>
  </w:style>
  <w:style w:type="character" w:styleId="FollowedHyperlink">
    <w:name w:val="FollowedHyperlink"/>
    <w:rsid w:val="00F170BC"/>
    <w:rPr>
      <w:color w:val="800080"/>
      <w:u w:val="single"/>
    </w:rPr>
  </w:style>
  <w:style w:type="character" w:styleId="CommentReference">
    <w:name w:val="annotation reference"/>
    <w:semiHidden/>
    <w:rsid w:val="00621029"/>
    <w:rPr>
      <w:sz w:val="16"/>
      <w:szCs w:val="16"/>
    </w:rPr>
  </w:style>
  <w:style w:type="paragraph" w:styleId="CommentText">
    <w:name w:val="annotation text"/>
    <w:basedOn w:val="Normal"/>
    <w:semiHidden/>
    <w:rsid w:val="00621029"/>
    <w:rPr>
      <w:sz w:val="20"/>
      <w:szCs w:val="20"/>
    </w:rPr>
  </w:style>
  <w:style w:type="paragraph" w:styleId="CommentSubject">
    <w:name w:val="annotation subject"/>
    <w:basedOn w:val="CommentText"/>
    <w:next w:val="CommentText"/>
    <w:semiHidden/>
    <w:rsid w:val="00621029"/>
    <w:rPr>
      <w:b/>
      <w:bCs/>
    </w:rPr>
  </w:style>
  <w:style w:type="paragraph" w:styleId="Header">
    <w:name w:val="header"/>
    <w:basedOn w:val="Normal"/>
    <w:link w:val="HeaderChar"/>
    <w:uiPriority w:val="99"/>
    <w:rsid w:val="009F4303"/>
    <w:pPr>
      <w:tabs>
        <w:tab w:val="center" w:pos="4680"/>
        <w:tab w:val="right" w:pos="9360"/>
      </w:tabs>
    </w:pPr>
  </w:style>
  <w:style w:type="character" w:customStyle="1" w:styleId="HeaderChar">
    <w:name w:val="Header Char"/>
    <w:link w:val="Header"/>
    <w:uiPriority w:val="99"/>
    <w:rsid w:val="009F4303"/>
    <w:rPr>
      <w:sz w:val="24"/>
      <w:szCs w:val="24"/>
    </w:rPr>
  </w:style>
  <w:style w:type="paragraph" w:styleId="Footer">
    <w:name w:val="footer"/>
    <w:basedOn w:val="Normal"/>
    <w:link w:val="FooterChar"/>
    <w:uiPriority w:val="99"/>
    <w:rsid w:val="009F4303"/>
    <w:pPr>
      <w:tabs>
        <w:tab w:val="center" w:pos="4680"/>
        <w:tab w:val="right" w:pos="9360"/>
      </w:tabs>
    </w:pPr>
  </w:style>
  <w:style w:type="character" w:customStyle="1" w:styleId="FooterChar">
    <w:name w:val="Footer Char"/>
    <w:link w:val="Footer"/>
    <w:uiPriority w:val="99"/>
    <w:rsid w:val="009F4303"/>
    <w:rPr>
      <w:sz w:val="24"/>
      <w:szCs w:val="24"/>
    </w:rPr>
  </w:style>
  <w:style w:type="paragraph" w:styleId="NormalWeb">
    <w:name w:val="Normal (Web)"/>
    <w:basedOn w:val="Normal"/>
    <w:uiPriority w:val="99"/>
    <w:rsid w:val="00DB21A2"/>
    <w:pPr>
      <w:spacing w:before="100" w:beforeAutospacing="1" w:after="100" w:afterAutospacing="1"/>
    </w:pPr>
  </w:style>
  <w:style w:type="character" w:styleId="Emphasis">
    <w:name w:val="Emphasis"/>
    <w:qFormat/>
    <w:rsid w:val="00DB21A2"/>
    <w:rPr>
      <w:i/>
      <w:iCs/>
    </w:rPr>
  </w:style>
  <w:style w:type="character" w:styleId="Strong">
    <w:name w:val="Strong"/>
    <w:qFormat/>
    <w:rsid w:val="00DB21A2"/>
    <w:rPr>
      <w:b/>
      <w:bCs/>
    </w:rPr>
  </w:style>
  <w:style w:type="paragraph" w:customStyle="1" w:styleId="style1style2">
    <w:name w:val="style1 style2"/>
    <w:basedOn w:val="Normal"/>
    <w:rsid w:val="00DB21A2"/>
    <w:pPr>
      <w:spacing w:before="100" w:beforeAutospacing="1" w:after="100" w:afterAutospacing="1"/>
    </w:pPr>
  </w:style>
  <w:style w:type="paragraph" w:styleId="BodyTextIndent">
    <w:name w:val="Body Text Indent"/>
    <w:basedOn w:val="Normal"/>
    <w:link w:val="BodyTextIndentChar"/>
    <w:rsid w:val="00DB21A2"/>
    <w:pPr>
      <w:tabs>
        <w:tab w:val="left" w:pos="432"/>
      </w:tabs>
      <w:ind w:left="180" w:hanging="180"/>
    </w:pPr>
    <w:rPr>
      <w:szCs w:val="20"/>
    </w:rPr>
  </w:style>
  <w:style w:type="character" w:customStyle="1" w:styleId="BodyTextIndentChar">
    <w:name w:val="Body Text Indent Char"/>
    <w:link w:val="BodyTextIndent"/>
    <w:rsid w:val="00DB21A2"/>
    <w:rPr>
      <w:sz w:val="24"/>
    </w:rPr>
  </w:style>
  <w:style w:type="paragraph" w:customStyle="1" w:styleId="Default">
    <w:name w:val="Default"/>
    <w:rsid w:val="00DB21A2"/>
    <w:pPr>
      <w:autoSpaceDE w:val="0"/>
      <w:autoSpaceDN w:val="0"/>
      <w:adjustRightInd w:val="0"/>
    </w:pPr>
    <w:rPr>
      <w:rFonts w:ascii="Arial" w:hAnsi="Arial" w:cs="Arial"/>
      <w:color w:val="000000"/>
      <w:sz w:val="24"/>
      <w:szCs w:val="24"/>
    </w:rPr>
  </w:style>
  <w:style w:type="table" w:styleId="TableGrid">
    <w:name w:val="Table Grid"/>
    <w:basedOn w:val="TableNormal"/>
    <w:rsid w:val="00F926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0DE"/>
    <w:pPr>
      <w:ind w:left="720"/>
      <w:contextualSpacing/>
    </w:pPr>
  </w:style>
  <w:style w:type="character" w:customStyle="1" w:styleId="ops-redline-version1">
    <w:name w:val="ops-redline-version1"/>
    <w:rsid w:val="0073443F"/>
    <w:rPr>
      <w:color w:val="DA3B39"/>
    </w:rPr>
  </w:style>
  <w:style w:type="paragraph" w:styleId="BodyText">
    <w:name w:val="Body Text"/>
    <w:basedOn w:val="Normal"/>
    <w:link w:val="BodyTextChar"/>
    <w:semiHidden/>
    <w:unhideWhenUsed/>
    <w:rsid w:val="001008FD"/>
    <w:pPr>
      <w:spacing w:after="120"/>
    </w:pPr>
  </w:style>
  <w:style w:type="character" w:customStyle="1" w:styleId="BodyTextChar">
    <w:name w:val="Body Text Char"/>
    <w:basedOn w:val="DefaultParagraphFont"/>
    <w:link w:val="BodyText"/>
    <w:semiHidden/>
    <w:rsid w:val="001008FD"/>
    <w:rPr>
      <w:sz w:val="24"/>
      <w:szCs w:val="24"/>
    </w:rPr>
  </w:style>
  <w:style w:type="character" w:customStyle="1" w:styleId="ops-redline-version">
    <w:name w:val="ops-redline-version"/>
    <w:rsid w:val="00EB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45430">
      <w:bodyDiv w:val="1"/>
      <w:marLeft w:val="0"/>
      <w:marRight w:val="0"/>
      <w:marTop w:val="0"/>
      <w:marBottom w:val="0"/>
      <w:divBdr>
        <w:top w:val="none" w:sz="0" w:space="0" w:color="auto"/>
        <w:left w:val="none" w:sz="0" w:space="0" w:color="auto"/>
        <w:bottom w:val="none" w:sz="0" w:space="0" w:color="auto"/>
        <w:right w:val="none" w:sz="0" w:space="0" w:color="auto"/>
      </w:divBdr>
    </w:div>
    <w:div w:id="9063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m-peters@uiowa.edu" TargetMode="External"/><Relationship Id="rId13" Type="http://schemas.openxmlformats.org/officeDocument/2006/relationships/hyperlink" Target="https://myui.uiowa.edu/my-ui/student/records/documents/preferred-name-pronoun.page" TargetMode="External"/><Relationship Id="rId18" Type="http://schemas.openxmlformats.org/officeDocument/2006/relationships/hyperlink" Target="http://hawkalert.uiow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s.studentlife.uiowa.edu/" TargetMode="External"/><Relationship Id="rId17" Type="http://schemas.openxmlformats.org/officeDocument/2006/relationships/hyperlink" Target="https://opsmanual.uiowa.edu/students/sexual-misconduct-datingdomestic-violence-or-stalking-involving-students" TargetMode="External"/><Relationship Id="rId2" Type="http://schemas.openxmlformats.org/officeDocument/2006/relationships/numbering" Target="numbering.xml"/><Relationship Id="rId16" Type="http://schemas.openxmlformats.org/officeDocument/2006/relationships/hyperlink" Target="https://osmrc.uiowa.edu/victim-resources/confidential-sup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ost.uiowa.edu/sites/provost.uiowa.edu/files/crossenroll.pdf" TargetMode="External"/><Relationship Id="rId5" Type="http://schemas.openxmlformats.org/officeDocument/2006/relationships/webSettings" Target="webSettings.xml"/><Relationship Id="rId15" Type="http://schemas.openxmlformats.org/officeDocument/2006/relationships/hyperlink" Target="https://osmrc.uiowa.edu/" TargetMode="External"/><Relationship Id="rId10" Type="http://schemas.openxmlformats.org/officeDocument/2006/relationships/hyperlink" Target="http://writingcenter.uiowa.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thorne@uiowa.edu" TargetMode="External"/><Relationship Id="rId14" Type="http://schemas.openxmlformats.org/officeDocument/2006/relationships/hyperlink" Target="http://dos.uiowa.edu/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9D7A-A7B6-4AB5-92A7-6D209ABE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2444</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Introduction to Aerosol Science</vt:lpstr>
    </vt:vector>
  </TitlesOfParts>
  <Company>UNCCH</Company>
  <LinksUpToDate>false</LinksUpToDate>
  <CharactersWithSpaces>17264</CharactersWithSpaces>
  <SharedDoc>false</SharedDoc>
  <HLinks>
    <vt:vector size="54" baseType="variant">
      <vt:variant>
        <vt:i4>3080295</vt:i4>
      </vt:variant>
      <vt:variant>
        <vt:i4>24</vt:i4>
      </vt:variant>
      <vt:variant>
        <vt:i4>0</vt:i4>
      </vt:variant>
      <vt:variant>
        <vt:i4>5</vt:i4>
      </vt:variant>
      <vt:variant>
        <vt:lpwstr>http://hawkalert.uiowa.edu/</vt:lpwstr>
      </vt:variant>
      <vt:variant>
        <vt:lpwstr/>
      </vt:variant>
      <vt:variant>
        <vt:i4>6029387</vt:i4>
      </vt:variant>
      <vt:variant>
        <vt:i4>21</vt:i4>
      </vt:variant>
      <vt:variant>
        <vt:i4>0</vt:i4>
      </vt:variant>
      <vt:variant>
        <vt:i4>5</vt:i4>
      </vt:variant>
      <vt:variant>
        <vt:lpwstr>http://www.uiowa.edu/~eod/policies/sexual-harassment-guide/index.html</vt:lpwstr>
      </vt:variant>
      <vt:variant>
        <vt:lpwstr/>
      </vt:variant>
      <vt:variant>
        <vt:i4>1441813</vt:i4>
      </vt:variant>
      <vt:variant>
        <vt:i4>18</vt:i4>
      </vt:variant>
      <vt:variant>
        <vt:i4>0</vt:i4>
      </vt:variant>
      <vt:variant>
        <vt:i4>5</vt:i4>
      </vt:variant>
      <vt:variant>
        <vt:lpwstr>http://www.uiowa.edu/~our/opmanual/ii/29.htm</vt:lpwstr>
      </vt:variant>
      <vt:variant>
        <vt:lpwstr/>
      </vt:variant>
      <vt:variant>
        <vt:i4>7471141</vt:i4>
      </vt:variant>
      <vt:variant>
        <vt:i4>15</vt:i4>
      </vt:variant>
      <vt:variant>
        <vt:i4>0</vt:i4>
      </vt:variant>
      <vt:variant>
        <vt:i4>5</vt:i4>
      </vt:variant>
      <vt:variant>
        <vt:lpwstr>http://dos.uiowa.edu/policy-list/current/student-responsibilities-6/academic-misconduct-6/</vt:lpwstr>
      </vt:variant>
      <vt:variant>
        <vt:lpwstr/>
      </vt:variant>
      <vt:variant>
        <vt:i4>6619184</vt:i4>
      </vt:variant>
      <vt:variant>
        <vt:i4>12</vt:i4>
      </vt:variant>
      <vt:variant>
        <vt:i4>0</vt:i4>
      </vt:variant>
      <vt:variant>
        <vt:i4>5</vt:i4>
      </vt:variant>
      <vt:variant>
        <vt:lpwstr>http://www.uiowa.edu/~provost/deos/crossenroll.doc</vt:lpwstr>
      </vt:variant>
      <vt:variant>
        <vt:lpwstr/>
      </vt:variant>
      <vt:variant>
        <vt:i4>7667718</vt:i4>
      </vt:variant>
      <vt:variant>
        <vt:i4>9</vt:i4>
      </vt:variant>
      <vt:variant>
        <vt:i4>0</vt:i4>
      </vt:variant>
      <vt:variant>
        <vt:i4>5</vt:i4>
      </vt:variant>
      <vt:variant>
        <vt:lpwstr>mailto:peter-thorne@uiowa.edu</vt:lpwstr>
      </vt:variant>
      <vt:variant>
        <vt:lpwstr/>
      </vt:variant>
      <vt:variant>
        <vt:i4>1441897</vt:i4>
      </vt:variant>
      <vt:variant>
        <vt:i4>6</vt:i4>
      </vt:variant>
      <vt:variant>
        <vt:i4>0</vt:i4>
      </vt:variant>
      <vt:variant>
        <vt:i4>5</vt:i4>
      </vt:variant>
      <vt:variant>
        <vt:lpwstr>mailto:matthew-nonnenmann@uiowa.edu</vt:lpwstr>
      </vt:variant>
      <vt:variant>
        <vt:lpwstr/>
      </vt:variant>
      <vt:variant>
        <vt:i4>7536660</vt:i4>
      </vt:variant>
      <vt:variant>
        <vt:i4>3</vt:i4>
      </vt:variant>
      <vt:variant>
        <vt:i4>0</vt:i4>
      </vt:variant>
      <vt:variant>
        <vt:i4>5</vt:i4>
      </vt:variant>
      <vt:variant>
        <vt:lpwstr>mailto:jaehong-park@uiowa.edu</vt:lpwstr>
      </vt:variant>
      <vt:variant>
        <vt:lpwstr/>
      </vt:variant>
      <vt:variant>
        <vt:i4>51</vt:i4>
      </vt:variant>
      <vt:variant>
        <vt:i4>0</vt:i4>
      </vt:variant>
      <vt:variant>
        <vt:i4>0</vt:i4>
      </vt:variant>
      <vt:variant>
        <vt:i4>5</vt:i4>
      </vt:variant>
      <vt:variant>
        <vt:lpwstr>mailto:thomas-m-peters@uiowa.edu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Aerosol Science</dc:title>
  <dc:creator>TMP</dc:creator>
  <cp:lastModifiedBy>Peters, Thomas M</cp:lastModifiedBy>
  <cp:revision>32</cp:revision>
  <cp:lastPrinted>2013-08-19T15:25:00Z</cp:lastPrinted>
  <dcterms:created xsi:type="dcterms:W3CDTF">2014-08-07T14:48:00Z</dcterms:created>
  <dcterms:modified xsi:type="dcterms:W3CDTF">2018-08-08T16:00:00Z</dcterms:modified>
</cp:coreProperties>
</file>